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0B53CD" w14:textId="77777777" w:rsidR="00E01BAB" w:rsidRPr="003932BB" w:rsidRDefault="00E01BAB" w:rsidP="00E01BAB">
      <w:pPr>
        <w:spacing w:after="0" w:line="240" w:lineRule="auto"/>
        <w:jc w:val="center"/>
        <w:rPr>
          <w:b/>
          <w:bCs/>
          <w:smallCaps/>
          <w:sz w:val="16"/>
          <w:szCs w:val="16"/>
        </w:rPr>
      </w:pPr>
      <w:r>
        <w:rPr>
          <w:b/>
          <w:bCs/>
          <w:smallCaps/>
          <w:noProof/>
          <w:sz w:val="48"/>
          <w:szCs w:val="48"/>
        </w:rPr>
        <mc:AlternateContent>
          <mc:Choice Requires="wps">
            <w:drawing>
              <wp:anchor distT="0" distB="0" distL="114300" distR="114300" simplePos="0" relativeHeight="251659264" behindDoc="0" locked="0" layoutInCell="1" allowOverlap="1" wp14:anchorId="0622EF55" wp14:editId="05444276">
                <wp:simplePos x="0" y="0"/>
                <wp:positionH relativeFrom="column">
                  <wp:posOffset>-5715</wp:posOffset>
                </wp:positionH>
                <wp:positionV relativeFrom="paragraph">
                  <wp:posOffset>5044</wp:posOffset>
                </wp:positionV>
                <wp:extent cx="5974715" cy="0"/>
                <wp:effectExtent l="57150" t="38100" r="64135" b="133350"/>
                <wp:wrapNone/>
                <wp:docPr id="72764264" name="Straight Connector 1"/>
                <wp:cNvGraphicFramePr/>
                <a:graphic xmlns:a="http://schemas.openxmlformats.org/drawingml/2006/main">
                  <a:graphicData uri="http://schemas.microsoft.com/office/word/2010/wordprocessingShape">
                    <wps:wsp>
                      <wps:cNvCnPr/>
                      <wps:spPr>
                        <a:xfrm>
                          <a:off x="0" y="0"/>
                          <a:ext cx="5974715" cy="0"/>
                        </a:xfrm>
                        <a:prstGeom prst="line">
                          <a:avLst/>
                        </a:prstGeom>
                        <a:ln w="57150">
                          <a:solidFill>
                            <a:schemeClr val="tx1"/>
                          </a:solidFill>
                        </a:ln>
                        <a:effectLst>
                          <a:outerShdw blurRad="50800" dist="38100" dir="5400000" algn="t"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E0B77CD"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5pt,.4pt" to="470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" strokecolor="black [3213]" strokeweight="4.5pt">
                <v:stroke joinstyle="miter"/>
                <v:shadow on="t" color="black" opacity="26214f" origin=",-.5" offset="0,3pt"/>
              </v:line>
            </w:pict>
          </mc:Fallback>
        </mc:AlternateContent>
      </w:r>
    </w:p>
    <w:p w14:paraId="159AC048" w14:textId="64AF9CF4" w:rsidR="00E01BAB" w:rsidRPr="00337834" w:rsidRDefault="00337834" w:rsidP="00E01BAB">
      <w:pPr>
        <w:spacing w:after="0" w:line="240" w:lineRule="auto"/>
        <w:jc w:val="center"/>
        <w:rPr>
          <w:b/>
          <w:bCs/>
          <w:smallCaps/>
          <w:color w:val="FF0000"/>
          <w:sz w:val="48"/>
          <w:szCs w:val="48"/>
        </w:rPr>
      </w:pPr>
      <w:r>
        <w:rPr>
          <w:b/>
          <w:bCs/>
          <w:smallCaps/>
          <w:color w:val="FF0000"/>
          <w:sz w:val="48"/>
          <w:szCs w:val="48"/>
        </w:rPr>
        <w:t>Your</w:t>
      </w:r>
      <w:r w:rsidR="00E01BAB" w:rsidRPr="00337834">
        <w:rPr>
          <w:b/>
          <w:bCs/>
          <w:smallCaps/>
          <w:color w:val="FF0000"/>
          <w:sz w:val="48"/>
          <w:szCs w:val="48"/>
        </w:rPr>
        <w:t xml:space="preserve"> Town</w:t>
      </w:r>
      <w:r w:rsidR="00FD1418">
        <w:rPr>
          <w:b/>
          <w:bCs/>
          <w:smallCaps/>
          <w:color w:val="FF0000"/>
          <w:sz w:val="48"/>
          <w:szCs w:val="48"/>
        </w:rPr>
        <w:t>/City/Village</w:t>
      </w:r>
      <w:r w:rsidR="00E01BAB" w:rsidRPr="00337834">
        <w:rPr>
          <w:b/>
          <w:bCs/>
          <w:smallCaps/>
          <w:color w:val="FF0000"/>
          <w:sz w:val="48"/>
          <w:szCs w:val="48"/>
        </w:rPr>
        <w:t xml:space="preserve"> Court</w:t>
      </w:r>
    </w:p>
    <w:p w14:paraId="6CCF57B4" w14:textId="4338B629" w:rsidR="00E01BAB" w:rsidRPr="00337834" w:rsidRDefault="00E01BAB" w:rsidP="00E01BAB">
      <w:pPr>
        <w:spacing w:line="360" w:lineRule="auto"/>
        <w:jc w:val="center"/>
        <w:rPr>
          <w:i/>
          <w:iCs/>
          <w:color w:val="FF0000"/>
        </w:rPr>
      </w:pPr>
      <w:r w:rsidRPr="00337834">
        <w:rPr>
          <w:b/>
          <w:bCs/>
          <w:i/>
          <w:iCs/>
          <w:smallCaps/>
          <w:noProof/>
          <w:color w:val="FF0000"/>
          <w:sz w:val="48"/>
          <w:szCs w:val="48"/>
        </w:rPr>
        <mc:AlternateContent>
          <mc:Choice Requires="wps">
            <w:drawing>
              <wp:anchor distT="0" distB="0" distL="114300" distR="114300" simplePos="0" relativeHeight="251660288" behindDoc="0" locked="0" layoutInCell="1" allowOverlap="1" wp14:anchorId="26B64D49" wp14:editId="26AEE4D0">
                <wp:simplePos x="0" y="0"/>
                <wp:positionH relativeFrom="column">
                  <wp:posOffset>5715</wp:posOffset>
                </wp:positionH>
                <wp:positionV relativeFrom="paragraph">
                  <wp:posOffset>328259</wp:posOffset>
                </wp:positionV>
                <wp:extent cx="5974715" cy="0"/>
                <wp:effectExtent l="57150" t="114300" r="64135" b="57150"/>
                <wp:wrapNone/>
                <wp:docPr id="782319472" name="Straight Connector 1"/>
                <wp:cNvGraphicFramePr/>
                <a:graphic xmlns:a="http://schemas.openxmlformats.org/drawingml/2006/main">
                  <a:graphicData uri="http://schemas.microsoft.com/office/word/2010/wordprocessingShape">
                    <wps:wsp>
                      <wps:cNvCnPr/>
                      <wps:spPr>
                        <a:xfrm>
                          <a:off x="0" y="0"/>
                          <a:ext cx="5974715" cy="0"/>
                        </a:xfrm>
                        <a:prstGeom prst="line">
                          <a:avLst/>
                        </a:prstGeom>
                        <a:ln w="57150">
                          <a:solidFill>
                            <a:schemeClr val="tx1"/>
                          </a:solidFill>
                        </a:ln>
                        <a:effectLst>
                          <a:outerShdw blurRad="50800" dist="38100" dir="16200000"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A09C977"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5pt,25.85pt" to="470.9pt,2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" strokecolor="black [3213]" strokeweight="4.5pt">
                <v:stroke joinstyle="miter"/>
                <v:shadow on="t" color="black" opacity="26214f" origin=",.5" offset="0,-3pt"/>
              </v:line>
            </w:pict>
          </mc:Fallback>
        </mc:AlternateContent>
      </w:r>
      <w:r w:rsidR="00337834">
        <w:rPr>
          <w:i/>
          <w:iCs/>
          <w:color w:val="FF0000"/>
        </w:rPr>
        <w:t>Address, City, State, Zip</w:t>
      </w:r>
    </w:p>
    <w:p w14:paraId="69649484" w14:textId="77777777" w:rsidR="00E01BAB" w:rsidRDefault="00E01BAB" w:rsidP="004D3F67">
      <w:pPr>
        <w:spacing w:after="0" w:line="240" w:lineRule="auto"/>
      </w:pPr>
    </w:p>
    <w:p w14:paraId="52A27D2B" w14:textId="77777777" w:rsidR="00E01BAB" w:rsidRDefault="00E01BAB" w:rsidP="00E01BAB">
      <w:pPr>
        <w:spacing w:line="360" w:lineRule="auto"/>
      </w:pPr>
      <w:r w:rsidRPr="00E8088A">
        <w:rPr>
          <w:rFonts w:cs="Times New Roman"/>
          <w:noProof/>
          <w:szCs w:val="24"/>
        </w:rPr>
        <mc:AlternateContent>
          <mc:Choice Requires="wps">
            <w:drawing>
              <wp:anchor distT="0" distB="0" distL="114300" distR="114300" simplePos="0" relativeHeight="251662336" behindDoc="0" locked="0" layoutInCell="1" allowOverlap="1" wp14:anchorId="658EE1F1" wp14:editId="357ED090">
                <wp:simplePos x="0" y="0"/>
                <wp:positionH relativeFrom="margin">
                  <wp:align>left</wp:align>
                </wp:positionH>
                <wp:positionV relativeFrom="paragraph">
                  <wp:posOffset>184450</wp:posOffset>
                </wp:positionV>
                <wp:extent cx="3191774" cy="5750"/>
                <wp:effectExtent l="0" t="0" r="27940" b="32385"/>
                <wp:wrapNone/>
                <wp:docPr id="3" name="Straight Connector 3"/>
                <wp:cNvGraphicFramePr/>
                <a:graphic xmlns:a="http://schemas.openxmlformats.org/drawingml/2006/main">
                  <a:graphicData uri="http://schemas.microsoft.com/office/word/2010/wordprocessingShape">
                    <wps:wsp>
                      <wps:cNvCnPr/>
                      <wps:spPr>
                        <a:xfrm flipH="1">
                          <a:off x="0" y="0"/>
                          <a:ext cx="3191774" cy="575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36292B" id="Straight Connector 3" o:spid="_x0000_s1026" style="position:absolute;flip:x;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4.5pt" to="251.3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" strokecolor="black [3200]" strokeweight="1.5pt">
                <v:stroke joinstyle="miter"/>
                <w10:wrap anchorx="margin"/>
              </v:line>
            </w:pict>
          </mc:Fallback>
        </mc:AlternateContent>
      </w:r>
      <w:r w:rsidRPr="00E8088A">
        <w:rPr>
          <w:rFonts w:cs="Times New Roman"/>
          <w:noProof/>
          <w:szCs w:val="24"/>
        </w:rPr>
        <mc:AlternateContent>
          <mc:Choice Requires="wps">
            <w:drawing>
              <wp:anchor distT="0" distB="0" distL="114300" distR="114300" simplePos="0" relativeHeight="251661312" behindDoc="0" locked="0" layoutInCell="1" allowOverlap="1" wp14:anchorId="5D14015F" wp14:editId="63858A47">
                <wp:simplePos x="0" y="0"/>
                <wp:positionH relativeFrom="column">
                  <wp:posOffset>3173730</wp:posOffset>
                </wp:positionH>
                <wp:positionV relativeFrom="paragraph">
                  <wp:posOffset>182808</wp:posOffset>
                </wp:positionV>
                <wp:extent cx="132080" cy="1584960"/>
                <wp:effectExtent l="0" t="0" r="20320" b="15240"/>
                <wp:wrapNone/>
                <wp:docPr id="7" name="Right Bracket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2080" cy="1584960"/>
                        </a:xfrm>
                        <a:prstGeom prst="rightBracket">
                          <a:avLst>
                            <a:gd name="adj" fmla="val 139623"/>
                          </a:avLst>
                        </a:prstGeom>
                        <a:ln>
                          <a:headEnd/>
                          <a:tailEnd/>
                        </a:ln>
                      </wps:spPr>
                      <wps:style>
                        <a:lnRef idx="3">
                          <a:schemeClr val="dk1"/>
                        </a:lnRef>
                        <a:fillRef idx="0">
                          <a:schemeClr val="dk1"/>
                        </a:fillRef>
                        <a:effectRef idx="2">
                          <a:schemeClr val="dk1"/>
                        </a:effectRef>
                        <a:fontRef idx="minor">
                          <a:schemeClr val="tx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E2BC79"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Right Bracket 7" o:spid="_x0000_s1026" type="#_x0000_t86" style="position:absolute;margin-left:249.9pt;margin-top:14.4pt;width:10.4pt;height:12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" adj="2513" strokecolor="black [3200]" strokeweight="1.5pt">
                <v:stroke joinstyle="miter"/>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0"/>
        <w:gridCol w:w="4140"/>
      </w:tblGrid>
      <w:tr w:rsidR="00E01BAB" w:rsidRPr="00A079B0" w14:paraId="42328FD4" w14:textId="77777777" w:rsidTr="00002185">
        <w:tc>
          <w:tcPr>
            <w:tcW w:w="5220" w:type="dxa"/>
          </w:tcPr>
          <w:p w14:paraId="3EA8C612" w14:textId="7EA74F59" w:rsidR="00E01BAB" w:rsidRPr="000903A8" w:rsidRDefault="00337834" w:rsidP="00002185">
            <w:pPr>
              <w:rPr>
                <w:szCs w:val="28"/>
              </w:rPr>
            </w:pPr>
            <w:r w:rsidRPr="00337834">
              <w:rPr>
                <w:color w:val="FF0000"/>
                <w:szCs w:val="28"/>
              </w:rPr>
              <w:t>Your Name</w:t>
            </w:r>
          </w:p>
        </w:tc>
        <w:tc>
          <w:tcPr>
            <w:tcW w:w="4140" w:type="dxa"/>
          </w:tcPr>
          <w:p w14:paraId="6BC36625" w14:textId="77777777" w:rsidR="00E01BAB" w:rsidRPr="00A079B0" w:rsidRDefault="00E01BAB" w:rsidP="00002185">
            <w:pPr>
              <w:rPr>
                <w:szCs w:val="28"/>
              </w:rPr>
            </w:pPr>
            <w:r w:rsidRPr="00A079B0">
              <w:rPr>
                <w:szCs w:val="28"/>
              </w:rPr>
              <w:t>Jurisdiction:</w:t>
            </w:r>
            <w:r>
              <w:rPr>
                <w:szCs w:val="28"/>
              </w:rPr>
              <w:t xml:space="preserve">  </w:t>
            </w:r>
            <w:r w:rsidRPr="00A079B0">
              <w:rPr>
                <w:szCs w:val="28"/>
              </w:rPr>
              <w:t xml:space="preserve">Court of Record, under </w:t>
            </w:r>
          </w:p>
        </w:tc>
      </w:tr>
      <w:tr w:rsidR="00E01BAB" w:rsidRPr="00A079B0" w14:paraId="58251942" w14:textId="77777777" w:rsidTr="00002185">
        <w:tc>
          <w:tcPr>
            <w:tcW w:w="5220" w:type="dxa"/>
          </w:tcPr>
          <w:p w14:paraId="28C4918F" w14:textId="77777777" w:rsidR="00E01BAB" w:rsidRPr="00A079B0" w:rsidRDefault="00E01BAB" w:rsidP="00002185">
            <w:pPr>
              <w:rPr>
                <w:szCs w:val="28"/>
              </w:rPr>
            </w:pPr>
            <w:r w:rsidRPr="00A079B0">
              <w:rPr>
                <w:szCs w:val="28"/>
              </w:rPr>
              <w:t xml:space="preserve">                                                     </w:t>
            </w:r>
            <w:r>
              <w:rPr>
                <w:szCs w:val="28"/>
              </w:rPr>
              <w:t xml:space="preserve">    </w:t>
            </w:r>
            <w:r w:rsidRPr="00B33951">
              <w:rPr>
                <w:rFonts w:cs="Times New Roman"/>
                <w:szCs w:val="28"/>
              </w:rPr>
              <w:t>Petitioner</w:t>
            </w:r>
          </w:p>
        </w:tc>
        <w:tc>
          <w:tcPr>
            <w:tcW w:w="4140" w:type="dxa"/>
          </w:tcPr>
          <w:p w14:paraId="1810D0C0" w14:textId="77777777" w:rsidR="00E01BAB" w:rsidRPr="00A079B0" w:rsidRDefault="00E01BAB" w:rsidP="00002185">
            <w:pPr>
              <w:jc w:val="right"/>
              <w:rPr>
                <w:szCs w:val="28"/>
              </w:rPr>
            </w:pPr>
            <w:r w:rsidRPr="00A079B0">
              <w:rPr>
                <w:szCs w:val="28"/>
              </w:rPr>
              <w:t>the rules of Common Law</w:t>
            </w:r>
            <w:r w:rsidRPr="00A079B0">
              <w:rPr>
                <w:rStyle w:val="FootnoteReference"/>
                <w:szCs w:val="28"/>
              </w:rPr>
              <w:footnoteReference w:id="1"/>
            </w:r>
          </w:p>
        </w:tc>
      </w:tr>
      <w:tr w:rsidR="00E01BAB" w:rsidRPr="00A079B0" w14:paraId="12B4C521" w14:textId="77777777" w:rsidTr="00002185">
        <w:tc>
          <w:tcPr>
            <w:tcW w:w="5220" w:type="dxa"/>
          </w:tcPr>
          <w:p w14:paraId="2246EC12" w14:textId="77777777" w:rsidR="00E01BAB" w:rsidRPr="00A079B0" w:rsidRDefault="00E01BAB" w:rsidP="00002185">
            <w:pPr>
              <w:rPr>
                <w:szCs w:val="28"/>
              </w:rPr>
            </w:pPr>
          </w:p>
        </w:tc>
        <w:tc>
          <w:tcPr>
            <w:tcW w:w="4140" w:type="dxa"/>
          </w:tcPr>
          <w:p w14:paraId="15DB2205" w14:textId="77777777" w:rsidR="00E01BAB" w:rsidRPr="00A079B0" w:rsidRDefault="00E01BAB" w:rsidP="00002185">
            <w:pPr>
              <w:rPr>
                <w:szCs w:val="28"/>
              </w:rPr>
            </w:pPr>
          </w:p>
        </w:tc>
      </w:tr>
      <w:tr w:rsidR="00E01BAB" w:rsidRPr="00A079B0" w14:paraId="456AAFF7" w14:textId="77777777" w:rsidTr="00002185">
        <w:tc>
          <w:tcPr>
            <w:tcW w:w="5220" w:type="dxa"/>
          </w:tcPr>
          <w:p w14:paraId="3BFB3604" w14:textId="77777777" w:rsidR="00E01BAB" w:rsidRPr="00A079B0" w:rsidRDefault="00E01BAB" w:rsidP="00002185">
            <w:pPr>
              <w:jc w:val="center"/>
              <w:rPr>
                <w:szCs w:val="28"/>
              </w:rPr>
            </w:pPr>
            <w:r w:rsidRPr="00A079B0">
              <w:rPr>
                <w:szCs w:val="28"/>
              </w:rPr>
              <w:t>- Against -</w:t>
            </w:r>
          </w:p>
        </w:tc>
        <w:tc>
          <w:tcPr>
            <w:tcW w:w="4140" w:type="dxa"/>
          </w:tcPr>
          <w:p w14:paraId="2F5405AE" w14:textId="77777777" w:rsidR="00E01BAB" w:rsidRPr="000903A8" w:rsidRDefault="00E01BAB" w:rsidP="00002185">
            <w:pPr>
              <w:rPr>
                <w:szCs w:val="28"/>
              </w:rPr>
            </w:pPr>
            <w:r w:rsidRPr="000903A8">
              <w:rPr>
                <w:szCs w:val="28"/>
              </w:rPr>
              <w:t xml:space="preserve">Case no: </w:t>
            </w:r>
            <w:r w:rsidRPr="000903A8">
              <w:rPr>
                <w:szCs w:val="24"/>
              </w:rPr>
              <w:t>SEE TICKET ATTACHED</w:t>
            </w:r>
          </w:p>
        </w:tc>
      </w:tr>
      <w:tr w:rsidR="00E01BAB" w:rsidRPr="00A079B0" w14:paraId="6A6933BB" w14:textId="77777777" w:rsidTr="00002185">
        <w:tc>
          <w:tcPr>
            <w:tcW w:w="5220" w:type="dxa"/>
          </w:tcPr>
          <w:p w14:paraId="28ED62B6" w14:textId="77777777" w:rsidR="00E01BAB" w:rsidRPr="00A079B0" w:rsidRDefault="00E01BAB" w:rsidP="00002185">
            <w:pPr>
              <w:rPr>
                <w:szCs w:val="28"/>
              </w:rPr>
            </w:pPr>
          </w:p>
        </w:tc>
        <w:tc>
          <w:tcPr>
            <w:tcW w:w="4140" w:type="dxa"/>
          </w:tcPr>
          <w:p w14:paraId="35F09AA3" w14:textId="77777777" w:rsidR="00E01BAB" w:rsidRPr="00A079B0" w:rsidRDefault="00E01BAB" w:rsidP="00002185">
            <w:pPr>
              <w:rPr>
                <w:szCs w:val="28"/>
              </w:rPr>
            </w:pPr>
            <w:r>
              <w:rPr>
                <w:szCs w:val="28"/>
              </w:rPr>
              <w:t>Judge</w:t>
            </w:r>
            <w:r w:rsidRPr="00A079B0">
              <w:rPr>
                <w:szCs w:val="28"/>
              </w:rPr>
              <w:t>:</w:t>
            </w:r>
            <w:r>
              <w:rPr>
                <w:szCs w:val="28"/>
              </w:rPr>
              <w:t xml:space="preserve"> ____________________ </w:t>
            </w:r>
          </w:p>
        </w:tc>
      </w:tr>
      <w:tr w:rsidR="00E01BAB" w:rsidRPr="00A079B0" w14:paraId="632E0A7A" w14:textId="77777777" w:rsidTr="00002185">
        <w:tc>
          <w:tcPr>
            <w:tcW w:w="5220" w:type="dxa"/>
          </w:tcPr>
          <w:p w14:paraId="60F288F0" w14:textId="3200CCFF" w:rsidR="00E01BAB" w:rsidRPr="000903A8" w:rsidRDefault="00E01BAB" w:rsidP="00002185">
            <w:pPr>
              <w:rPr>
                <w:rFonts w:asciiTheme="minorHAnsi" w:hAnsiTheme="minorHAnsi" w:cstheme="minorHAnsi"/>
                <w:szCs w:val="28"/>
              </w:rPr>
            </w:pPr>
            <w:r w:rsidRPr="000903A8">
              <w:rPr>
                <w:szCs w:val="28"/>
              </w:rPr>
              <w:t xml:space="preserve">Town Court Prosecutor </w:t>
            </w:r>
            <w:r w:rsidR="00525A81" w:rsidRPr="00525A81">
              <w:rPr>
                <w:color w:val="FF0000"/>
              </w:rPr>
              <w:t>Name</w:t>
            </w:r>
          </w:p>
        </w:tc>
        <w:tc>
          <w:tcPr>
            <w:tcW w:w="4140" w:type="dxa"/>
          </w:tcPr>
          <w:p w14:paraId="537C50A1" w14:textId="709D537F" w:rsidR="00E01BAB" w:rsidRPr="00592936" w:rsidRDefault="00592936" w:rsidP="00592936">
            <w:pPr>
              <w:jc w:val="center"/>
              <w:rPr>
                <w:b/>
                <w:smallCaps/>
                <w:szCs w:val="28"/>
              </w:rPr>
            </w:pPr>
            <w:r>
              <w:rPr>
                <w:b/>
                <w:smallCaps/>
                <w:szCs w:val="28"/>
              </w:rPr>
              <w:t>V</w:t>
            </w:r>
            <w:r w:rsidRPr="00592936">
              <w:rPr>
                <w:b/>
                <w:smallCaps/>
                <w:szCs w:val="28"/>
              </w:rPr>
              <w:t>erified</w:t>
            </w:r>
          </w:p>
        </w:tc>
      </w:tr>
      <w:tr w:rsidR="00E01BAB" w:rsidRPr="00A079B0" w14:paraId="37F9AFB9" w14:textId="77777777" w:rsidTr="00002185">
        <w:tc>
          <w:tcPr>
            <w:tcW w:w="5220" w:type="dxa"/>
          </w:tcPr>
          <w:p w14:paraId="7854C9ED" w14:textId="77777777" w:rsidR="00E01BAB" w:rsidRPr="00000B74" w:rsidRDefault="00E01BAB" w:rsidP="00002185">
            <w:pPr>
              <w:rPr>
                <w:szCs w:val="28"/>
              </w:rPr>
            </w:pPr>
            <w:r w:rsidRPr="00000B74">
              <w:rPr>
                <w:szCs w:val="28"/>
              </w:rPr>
              <w:t xml:space="preserve">                                                         </w:t>
            </w:r>
            <w:r>
              <w:rPr>
                <w:szCs w:val="28"/>
              </w:rPr>
              <w:t>R</w:t>
            </w:r>
            <w:r w:rsidRPr="00B33951">
              <w:rPr>
                <w:rFonts w:cs="Times New Roman"/>
                <w:szCs w:val="28"/>
              </w:rPr>
              <w:t>espondent</w:t>
            </w:r>
          </w:p>
        </w:tc>
        <w:tc>
          <w:tcPr>
            <w:tcW w:w="4140" w:type="dxa"/>
          </w:tcPr>
          <w:p w14:paraId="67D3809B" w14:textId="77777777" w:rsidR="00E01BAB" w:rsidRPr="000903A8" w:rsidRDefault="00E01BAB" w:rsidP="00002185">
            <w:pPr>
              <w:jc w:val="center"/>
              <w:rPr>
                <w:smallCaps/>
                <w:szCs w:val="28"/>
              </w:rPr>
            </w:pPr>
            <w:r w:rsidRPr="000903A8">
              <w:rPr>
                <w:b/>
                <w:smallCaps/>
                <w:szCs w:val="28"/>
              </w:rPr>
              <w:t>Jurisdictional Challenge</w:t>
            </w:r>
          </w:p>
        </w:tc>
      </w:tr>
    </w:tbl>
    <w:p w14:paraId="00D717E4" w14:textId="77777777" w:rsidR="00E01BAB" w:rsidRDefault="00E01BAB" w:rsidP="00E01BAB">
      <w:pPr>
        <w:rPr>
          <w:szCs w:val="28"/>
        </w:rPr>
      </w:pPr>
      <w:r w:rsidRPr="00E8088A">
        <w:rPr>
          <w:rFonts w:cs="Times New Roman"/>
          <w:noProof/>
          <w:szCs w:val="24"/>
        </w:rPr>
        <mc:AlternateContent>
          <mc:Choice Requires="wps">
            <w:drawing>
              <wp:anchor distT="0" distB="0" distL="114300" distR="114300" simplePos="0" relativeHeight="251663360" behindDoc="0" locked="0" layoutInCell="1" allowOverlap="1" wp14:anchorId="1516ADCC" wp14:editId="22162315">
                <wp:simplePos x="0" y="0"/>
                <wp:positionH relativeFrom="margin">
                  <wp:posOffset>-11466</wp:posOffset>
                </wp:positionH>
                <wp:positionV relativeFrom="paragraph">
                  <wp:posOffset>196850</wp:posOffset>
                </wp:positionV>
                <wp:extent cx="3191510" cy="5715"/>
                <wp:effectExtent l="0" t="0" r="27940" b="32385"/>
                <wp:wrapNone/>
                <wp:docPr id="1784634402" name="Straight Connector 1784634402"/>
                <wp:cNvGraphicFramePr/>
                <a:graphic xmlns:a="http://schemas.openxmlformats.org/drawingml/2006/main">
                  <a:graphicData uri="http://schemas.microsoft.com/office/word/2010/wordprocessingShape">
                    <wps:wsp>
                      <wps:cNvCnPr/>
                      <wps:spPr>
                        <a:xfrm flipH="1">
                          <a:off x="0" y="0"/>
                          <a:ext cx="3191510" cy="5715"/>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0D9F26" id="Straight Connector 1784634402" o:spid="_x0000_s1026" style="position:absolute;flip:x;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pt,15.5pt" to="250.4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" strokecolor="black [3200]" strokeweight="1.5pt">
                <v:stroke joinstyle="miter"/>
                <w10:wrap anchorx="margin"/>
              </v:line>
            </w:pict>
          </mc:Fallback>
        </mc:AlternateContent>
      </w:r>
    </w:p>
    <w:p w14:paraId="56BC2479" w14:textId="77777777" w:rsidR="00E01BAB" w:rsidRPr="00A079B0" w:rsidRDefault="00E01BAB" w:rsidP="00E01BAB">
      <w:pPr>
        <w:rPr>
          <w:szCs w:val="28"/>
        </w:rPr>
      </w:pPr>
    </w:p>
    <w:p w14:paraId="699F25E4" w14:textId="573B15AE" w:rsidR="00182361" w:rsidRPr="00182361" w:rsidRDefault="004D3F67" w:rsidP="00182361">
      <w:pPr>
        <w:spacing w:after="0" w:line="240" w:lineRule="auto"/>
        <w:rPr>
          <w:rFonts w:cstheme="minorHAnsi"/>
          <w:szCs w:val="24"/>
        </w:rPr>
      </w:pPr>
      <w:r w:rsidRPr="004D3F67">
        <w:rPr>
          <w:rFonts w:cstheme="minorHAnsi"/>
          <w:smallCaps/>
          <w:color w:val="FF0000"/>
          <w:szCs w:val="24"/>
        </w:rPr>
        <w:t>Your</w:t>
      </w:r>
      <w:r w:rsidR="00182361" w:rsidRPr="004D3F67">
        <w:rPr>
          <w:rFonts w:cstheme="minorHAnsi"/>
          <w:smallCaps/>
          <w:color w:val="FF0000"/>
          <w:szCs w:val="24"/>
        </w:rPr>
        <w:t xml:space="preserve"> </w:t>
      </w:r>
      <w:r w:rsidR="00182361" w:rsidRPr="004D3F67">
        <w:rPr>
          <w:rFonts w:cstheme="minorHAnsi"/>
          <w:smallCaps/>
          <w:szCs w:val="24"/>
        </w:rPr>
        <w:t>State</w:t>
      </w:r>
      <w:r>
        <w:rPr>
          <w:rFonts w:cstheme="minorHAnsi"/>
          <w:smallCaps/>
          <w:szCs w:val="24"/>
        </w:rPr>
        <w:tab/>
      </w:r>
      <w:r w:rsidR="00182361" w:rsidRPr="00182361">
        <w:rPr>
          <w:rFonts w:cstheme="minorHAnsi"/>
          <w:smallCaps/>
          <w:szCs w:val="24"/>
        </w:rPr>
        <w:tab/>
      </w:r>
      <w:r w:rsidR="00182361" w:rsidRPr="00182361">
        <w:rPr>
          <w:rFonts w:cstheme="minorHAnsi"/>
          <w:szCs w:val="24"/>
        </w:rPr>
        <w:t>)</w:t>
      </w:r>
    </w:p>
    <w:p w14:paraId="197D8F72" w14:textId="35EF7B79" w:rsidR="00182361" w:rsidRPr="00182361" w:rsidRDefault="00F729A2" w:rsidP="00182361">
      <w:pPr>
        <w:spacing w:after="0" w:line="240" w:lineRule="auto"/>
        <w:ind w:left="1440" w:firstLine="720"/>
        <w:rPr>
          <w:rFonts w:cstheme="minorHAnsi"/>
          <w:szCs w:val="24"/>
        </w:rPr>
      </w:pPr>
      <w:r w:rsidRPr="00182361">
        <w:rPr>
          <w:rFonts w:cstheme="minorHAnsi"/>
          <w:szCs w:val="24"/>
        </w:rPr>
        <w:t>)</w:t>
      </w:r>
      <w:r>
        <w:rPr>
          <w:rFonts w:cstheme="minorHAnsi"/>
          <w:szCs w:val="24"/>
        </w:rPr>
        <w:t xml:space="preserve">: </w:t>
      </w:r>
      <w:r w:rsidR="004D3F67">
        <w:rPr>
          <w:rFonts w:cstheme="minorHAnsi"/>
          <w:szCs w:val="24"/>
        </w:rPr>
        <w:t>ss</w:t>
      </w:r>
      <w:r w:rsidR="00182361" w:rsidRPr="00182361">
        <w:rPr>
          <w:rStyle w:val="FootnoteReference"/>
          <w:rFonts w:cstheme="minorHAnsi"/>
          <w:szCs w:val="24"/>
        </w:rPr>
        <w:footnoteReference w:id="2"/>
      </w:r>
    </w:p>
    <w:p w14:paraId="00F4C64F" w14:textId="4460D9AC" w:rsidR="00182361" w:rsidRPr="00182361" w:rsidRDefault="004D3F67" w:rsidP="00182361">
      <w:pPr>
        <w:spacing w:after="0" w:line="360" w:lineRule="auto"/>
        <w:rPr>
          <w:rFonts w:cstheme="minorHAnsi"/>
          <w:szCs w:val="24"/>
        </w:rPr>
      </w:pPr>
      <w:r w:rsidRPr="004D3F67">
        <w:rPr>
          <w:rFonts w:cstheme="minorHAnsi"/>
          <w:smallCaps/>
          <w:color w:val="FF0000"/>
          <w:szCs w:val="24"/>
        </w:rPr>
        <w:t>Your</w:t>
      </w:r>
      <w:r w:rsidR="00182361" w:rsidRPr="00182361">
        <w:rPr>
          <w:rFonts w:cstheme="minorHAnsi"/>
          <w:smallCaps/>
          <w:szCs w:val="24"/>
        </w:rPr>
        <w:t xml:space="preserve"> County</w:t>
      </w:r>
      <w:r>
        <w:rPr>
          <w:rFonts w:cstheme="minorHAnsi"/>
          <w:smallCaps/>
          <w:szCs w:val="24"/>
        </w:rPr>
        <w:tab/>
      </w:r>
      <w:r w:rsidR="00182361">
        <w:rPr>
          <w:rFonts w:cstheme="minorHAnsi"/>
          <w:smallCaps/>
          <w:szCs w:val="24"/>
        </w:rPr>
        <w:tab/>
      </w:r>
      <w:r w:rsidR="00182361" w:rsidRPr="00182361">
        <w:rPr>
          <w:rFonts w:cstheme="minorHAnsi"/>
          <w:szCs w:val="24"/>
        </w:rPr>
        <w:t>)</w:t>
      </w:r>
    </w:p>
    <w:p w14:paraId="49687986" w14:textId="77777777" w:rsidR="00182361" w:rsidRPr="00182361" w:rsidRDefault="00182361" w:rsidP="00182361">
      <w:pPr>
        <w:spacing w:after="0"/>
        <w:rPr>
          <w:rFonts w:cs="Times New Roman"/>
          <w:szCs w:val="24"/>
        </w:rPr>
      </w:pPr>
    </w:p>
    <w:p w14:paraId="480AE5B1" w14:textId="72D08C95" w:rsidR="00182361" w:rsidRPr="00182361" w:rsidRDefault="00182361" w:rsidP="00F729A2">
      <w:pPr>
        <w:spacing w:line="360" w:lineRule="auto"/>
        <w:ind w:firstLine="720"/>
        <w:rPr>
          <w:szCs w:val="24"/>
        </w:rPr>
      </w:pPr>
      <w:r w:rsidRPr="00F729A2">
        <w:rPr>
          <w:rFonts w:cs="Times New Roman"/>
          <w:szCs w:val="24"/>
        </w:rPr>
        <w:t xml:space="preserve">I, </w:t>
      </w:r>
      <w:r w:rsidR="00337834" w:rsidRPr="00337834">
        <w:rPr>
          <w:rFonts w:cs="Times New Roman"/>
          <w:color w:val="FF0000"/>
          <w:szCs w:val="24"/>
        </w:rPr>
        <w:t>Your Name</w:t>
      </w:r>
      <w:r w:rsidRPr="00F729A2">
        <w:rPr>
          <w:rFonts w:cs="Times New Roman"/>
          <w:szCs w:val="24"/>
        </w:rPr>
        <w:t>, one of the People</w:t>
      </w:r>
      <w:r w:rsidRPr="00F729A2">
        <w:rPr>
          <w:rStyle w:val="FootnoteReference"/>
          <w:rFonts w:cs="Times New Roman"/>
          <w:szCs w:val="24"/>
        </w:rPr>
        <w:footnoteReference w:id="3"/>
      </w:r>
      <w:r w:rsidRPr="00F729A2">
        <w:rPr>
          <w:rFonts w:cs="Times New Roman"/>
          <w:szCs w:val="24"/>
        </w:rPr>
        <w:t xml:space="preserve"> of </w:t>
      </w:r>
      <w:r w:rsidR="00806921" w:rsidRPr="00337834">
        <w:rPr>
          <w:rFonts w:cs="Times New Roman"/>
          <w:color w:val="FF0000"/>
          <w:szCs w:val="24"/>
        </w:rPr>
        <w:t>Your</w:t>
      </w:r>
      <w:r w:rsidRPr="00F729A2">
        <w:rPr>
          <w:rFonts w:cs="Times New Roman"/>
          <w:szCs w:val="24"/>
        </w:rPr>
        <w:t xml:space="preserve"> State, hereinafter petitioner, by </w:t>
      </w:r>
      <w:r w:rsidR="00CC77EE">
        <w:rPr>
          <w:rFonts w:cs="Times New Roman"/>
          <w:szCs w:val="24"/>
        </w:rPr>
        <w:t>“</w:t>
      </w:r>
      <w:r w:rsidR="00F729A2">
        <w:rPr>
          <w:rFonts w:cs="Times New Roman"/>
          <w:szCs w:val="24"/>
        </w:rPr>
        <w:t>S</w:t>
      </w:r>
      <w:r w:rsidRPr="00F729A2">
        <w:rPr>
          <w:rFonts w:cs="Times New Roman"/>
          <w:szCs w:val="24"/>
        </w:rPr>
        <w:t xml:space="preserve">pecial </w:t>
      </w:r>
      <w:r w:rsidR="00F729A2">
        <w:rPr>
          <w:rFonts w:cs="Times New Roman"/>
          <w:szCs w:val="24"/>
        </w:rPr>
        <w:t>A</w:t>
      </w:r>
      <w:r w:rsidRPr="00182361">
        <w:rPr>
          <w:rFonts w:cs="Times New Roman"/>
          <w:szCs w:val="24"/>
        </w:rPr>
        <w:t>ppearance</w:t>
      </w:r>
      <w:r w:rsidR="00CC77EE">
        <w:rPr>
          <w:rFonts w:cs="Times New Roman"/>
          <w:szCs w:val="24"/>
        </w:rPr>
        <w:t>”</w:t>
      </w:r>
      <w:r w:rsidRPr="00182361">
        <w:rPr>
          <w:rStyle w:val="FootnoteReference"/>
          <w:rFonts w:cs="Times New Roman"/>
          <w:szCs w:val="24"/>
        </w:rPr>
        <w:footnoteReference w:id="4"/>
      </w:r>
      <w:r w:rsidRPr="00182361">
        <w:rPr>
          <w:rFonts w:cs="Times New Roman"/>
          <w:szCs w:val="24"/>
        </w:rPr>
        <w:t xml:space="preserve"> for the purpose of testing the sufficiency of the jurisdiction of the </w:t>
      </w:r>
      <w:r w:rsidR="00A924DB" w:rsidRPr="00A924DB">
        <w:rPr>
          <w:szCs w:val="24"/>
        </w:rPr>
        <w:t>nisi prius</w:t>
      </w:r>
      <w:r w:rsidR="00A924DB" w:rsidRPr="00A924DB">
        <w:rPr>
          <w:rFonts w:cs="Times New Roman"/>
          <w:szCs w:val="24"/>
        </w:rPr>
        <w:t xml:space="preserve"> </w:t>
      </w:r>
      <w:r w:rsidR="00CC77EE">
        <w:rPr>
          <w:rFonts w:cs="Times New Roman"/>
          <w:szCs w:val="24"/>
        </w:rPr>
        <w:t>“</w:t>
      </w:r>
      <w:r w:rsidR="004D3F67" w:rsidRPr="004D3F67">
        <w:rPr>
          <w:rFonts w:cs="Times New Roman"/>
          <w:color w:val="FF0000"/>
          <w:szCs w:val="24"/>
        </w:rPr>
        <w:t>Your</w:t>
      </w:r>
      <w:r w:rsidR="00F729A2" w:rsidRPr="004D3F67">
        <w:rPr>
          <w:rFonts w:cs="Times New Roman"/>
          <w:color w:val="FF0000"/>
          <w:szCs w:val="24"/>
        </w:rPr>
        <w:t xml:space="preserve"> Town</w:t>
      </w:r>
      <w:r w:rsidR="004D3F67" w:rsidRPr="004D3F67">
        <w:rPr>
          <w:rFonts w:cs="Times New Roman"/>
          <w:color w:val="FF0000"/>
          <w:szCs w:val="24"/>
        </w:rPr>
        <w:t>, Village, or Traffic</w:t>
      </w:r>
      <w:r w:rsidR="00F729A2" w:rsidRPr="004D3F67">
        <w:rPr>
          <w:rFonts w:cs="Times New Roman"/>
          <w:color w:val="FF0000"/>
          <w:szCs w:val="24"/>
        </w:rPr>
        <w:t xml:space="preserve"> Court</w:t>
      </w:r>
      <w:r w:rsidR="00CC77EE">
        <w:rPr>
          <w:rFonts w:cs="Times New Roman"/>
          <w:szCs w:val="24"/>
        </w:rPr>
        <w:t>”</w:t>
      </w:r>
      <w:r w:rsidRPr="00182361">
        <w:rPr>
          <w:rStyle w:val="FootnoteReference"/>
          <w:rFonts w:cs="Times New Roman"/>
          <w:szCs w:val="24"/>
        </w:rPr>
        <w:footnoteReference w:id="5"/>
      </w:r>
      <w:r w:rsidRPr="00182361">
        <w:rPr>
          <w:rFonts w:cs="Times New Roman"/>
          <w:szCs w:val="24"/>
        </w:rPr>
        <w:t>; Petitioner</w:t>
      </w:r>
      <w:r w:rsidR="00A924DB">
        <w:rPr>
          <w:rFonts w:cs="Times New Roman"/>
          <w:szCs w:val="24"/>
        </w:rPr>
        <w:t xml:space="preserve"> via</w:t>
      </w:r>
      <w:r w:rsidR="00462E09">
        <w:rPr>
          <w:rFonts w:cs="Times New Roman"/>
          <w:szCs w:val="24"/>
        </w:rPr>
        <w:t xml:space="preserve"> a</w:t>
      </w:r>
      <w:r w:rsidR="00A924DB">
        <w:rPr>
          <w:rFonts w:cs="Times New Roman"/>
          <w:szCs w:val="24"/>
        </w:rPr>
        <w:t xml:space="preserve"> </w:t>
      </w:r>
      <w:r w:rsidR="00462E09">
        <w:rPr>
          <w:rFonts w:cs="Times New Roman"/>
          <w:szCs w:val="24"/>
        </w:rPr>
        <w:t>“</w:t>
      </w:r>
      <w:r w:rsidR="00592936">
        <w:rPr>
          <w:rFonts w:cs="Times New Roman"/>
          <w:szCs w:val="24"/>
        </w:rPr>
        <w:t>verified action</w:t>
      </w:r>
      <w:r w:rsidRPr="00182361">
        <w:rPr>
          <w:rFonts w:cs="Times New Roman"/>
          <w:szCs w:val="24"/>
        </w:rPr>
        <w:t>,</w:t>
      </w:r>
      <w:r w:rsidR="00462E09">
        <w:rPr>
          <w:rFonts w:cs="Times New Roman"/>
          <w:szCs w:val="24"/>
        </w:rPr>
        <w:t>”</w:t>
      </w:r>
      <w:r w:rsidRPr="00182361">
        <w:rPr>
          <w:rFonts w:cs="Times New Roman"/>
          <w:szCs w:val="24"/>
        </w:rPr>
        <w:t xml:space="preserve"> hereby opens a </w:t>
      </w:r>
      <w:r w:rsidR="00CC77EE">
        <w:rPr>
          <w:rFonts w:cs="Times New Roman"/>
          <w:szCs w:val="24"/>
        </w:rPr>
        <w:t>“</w:t>
      </w:r>
      <w:r w:rsidR="00F729A2">
        <w:rPr>
          <w:rFonts w:cs="Times New Roman"/>
          <w:szCs w:val="24"/>
        </w:rPr>
        <w:t>C</w:t>
      </w:r>
      <w:r w:rsidRPr="00182361">
        <w:rPr>
          <w:rFonts w:cs="Times New Roman"/>
          <w:szCs w:val="24"/>
        </w:rPr>
        <w:t xml:space="preserve">ourt of </w:t>
      </w:r>
      <w:r w:rsidR="00F729A2">
        <w:rPr>
          <w:rFonts w:cs="Times New Roman"/>
          <w:szCs w:val="24"/>
        </w:rPr>
        <w:t>R</w:t>
      </w:r>
      <w:r w:rsidRPr="00182361">
        <w:rPr>
          <w:rFonts w:cs="Times New Roman"/>
          <w:szCs w:val="24"/>
        </w:rPr>
        <w:t>ecord</w:t>
      </w:r>
      <w:r w:rsidR="00CC77EE">
        <w:rPr>
          <w:rFonts w:cs="Times New Roman"/>
          <w:szCs w:val="24"/>
        </w:rPr>
        <w:t>”</w:t>
      </w:r>
      <w:r w:rsidRPr="00182361">
        <w:rPr>
          <w:rFonts w:cs="Times New Roman"/>
          <w:szCs w:val="24"/>
        </w:rPr>
        <w:t xml:space="preserve"> to move this court </w:t>
      </w:r>
      <w:r w:rsidRPr="00182361">
        <w:rPr>
          <w:szCs w:val="24"/>
        </w:rPr>
        <w:t>for dismissal for lack of personam jurisdiction.</w:t>
      </w:r>
    </w:p>
    <w:p w14:paraId="79783364" w14:textId="77777777" w:rsidR="00072B22" w:rsidRDefault="00182361" w:rsidP="00360AE5">
      <w:pPr>
        <w:spacing w:line="360" w:lineRule="auto"/>
        <w:ind w:firstLine="720"/>
        <w:rPr>
          <w:szCs w:val="24"/>
        </w:rPr>
      </w:pPr>
      <w:r w:rsidRPr="00182361">
        <w:rPr>
          <w:rFonts w:cs="Times New Roman"/>
          <w:szCs w:val="24"/>
        </w:rPr>
        <w:lastRenderedPageBreak/>
        <w:t xml:space="preserve">Before a plea can be made the petitioner must first know the jurisdiction. </w:t>
      </w:r>
      <w:r w:rsidR="00CC77EE">
        <w:rPr>
          <w:rFonts w:cs="Times New Roman"/>
          <w:szCs w:val="24"/>
        </w:rPr>
        <w:t>“</w:t>
      </w:r>
      <w:r w:rsidR="00A924DB" w:rsidRPr="00A924DB">
        <w:rPr>
          <w:rFonts w:cs="Times New Roman"/>
          <w:i/>
          <w:iCs/>
          <w:szCs w:val="24"/>
        </w:rPr>
        <w:t>Court must prove on the record, all jurisdiction facts related to the jurisdiction asserted</w:t>
      </w:r>
      <w:r w:rsidR="00A924DB" w:rsidRPr="00A924DB">
        <w:rPr>
          <w:rFonts w:cs="Times New Roman"/>
          <w:szCs w:val="24"/>
        </w:rPr>
        <w:t>.</w:t>
      </w:r>
      <w:r w:rsidR="00CC77EE">
        <w:rPr>
          <w:rFonts w:cs="Times New Roman"/>
          <w:szCs w:val="24"/>
        </w:rPr>
        <w:t>”</w:t>
      </w:r>
      <w:r w:rsidR="00A924DB">
        <w:rPr>
          <w:rStyle w:val="FootnoteReference"/>
          <w:rFonts w:cs="Times New Roman"/>
          <w:szCs w:val="24"/>
        </w:rPr>
        <w:footnoteReference w:id="6"/>
      </w:r>
      <w:r w:rsidR="00A924DB" w:rsidRPr="00A924DB">
        <w:rPr>
          <w:rFonts w:cs="Times New Roman"/>
          <w:szCs w:val="24"/>
        </w:rPr>
        <w:t xml:space="preserve"> </w:t>
      </w:r>
      <w:r w:rsidR="00CC77EE">
        <w:rPr>
          <w:rFonts w:cs="Times New Roman"/>
          <w:szCs w:val="24"/>
        </w:rPr>
        <w:t>“</w:t>
      </w:r>
      <w:r w:rsidR="00A924DB" w:rsidRPr="00A924DB">
        <w:rPr>
          <w:rFonts w:cs="Times New Roman"/>
          <w:i/>
          <w:iCs/>
          <w:szCs w:val="24"/>
        </w:rPr>
        <w:t>The law requires proof of jurisdiction to appear on the record of the administrative agency and all administrative proceedin</w:t>
      </w:r>
      <w:r w:rsidR="00A924DB" w:rsidRPr="00A924DB">
        <w:rPr>
          <w:rFonts w:cs="Times New Roman"/>
          <w:szCs w:val="24"/>
        </w:rPr>
        <w:t>gs</w:t>
      </w:r>
      <w:r w:rsidR="00A924DB">
        <w:rPr>
          <w:rFonts w:cs="Times New Roman"/>
          <w:szCs w:val="24"/>
        </w:rPr>
        <w:t>.</w:t>
      </w:r>
      <w:r w:rsidR="00CC77EE">
        <w:rPr>
          <w:rFonts w:cs="Times New Roman"/>
          <w:szCs w:val="24"/>
        </w:rPr>
        <w:t>”</w:t>
      </w:r>
      <w:r w:rsidR="00A924DB">
        <w:rPr>
          <w:rStyle w:val="FootnoteReference"/>
          <w:rFonts w:cs="Times New Roman"/>
          <w:szCs w:val="24"/>
        </w:rPr>
        <w:footnoteReference w:id="7"/>
      </w:r>
      <w:r w:rsidR="00A924DB">
        <w:rPr>
          <w:rFonts w:cs="Times New Roman"/>
          <w:szCs w:val="24"/>
        </w:rPr>
        <w:t xml:space="preserve"> </w:t>
      </w:r>
      <w:r w:rsidR="00F729A2" w:rsidRPr="00182361">
        <w:rPr>
          <w:rFonts w:cs="Times New Roman"/>
          <w:szCs w:val="24"/>
        </w:rPr>
        <w:t>Furthermore,</w:t>
      </w:r>
      <w:r w:rsidRPr="00182361">
        <w:rPr>
          <w:rFonts w:cs="Times New Roman"/>
          <w:szCs w:val="24"/>
        </w:rPr>
        <w:t xml:space="preserve"> petitioner challenges jurisdiction of the court and therefore before the court can advance the </w:t>
      </w:r>
      <w:r w:rsidRPr="00182361">
        <w:rPr>
          <w:szCs w:val="24"/>
        </w:rPr>
        <w:t>Prosecutor, hereinafter respondent, must first respond to petitioner</w:t>
      </w:r>
      <w:r w:rsidR="00CC77EE">
        <w:rPr>
          <w:szCs w:val="24"/>
        </w:rPr>
        <w:t>’</w:t>
      </w:r>
      <w:r w:rsidRPr="00182361">
        <w:rPr>
          <w:szCs w:val="24"/>
        </w:rPr>
        <w:t xml:space="preserve">s jurisdictional challenge and show by what constitutional authority the attached </w:t>
      </w:r>
      <w:r w:rsidR="00CC77EE">
        <w:rPr>
          <w:szCs w:val="24"/>
        </w:rPr>
        <w:t>“</w:t>
      </w:r>
      <w:r w:rsidRPr="00CC77EE">
        <w:rPr>
          <w:iCs/>
          <w:szCs w:val="24"/>
        </w:rPr>
        <w:t>N.Y.S. DMV Uniform Traffic Ticket</w:t>
      </w:r>
      <w:r w:rsidR="00CC77EE">
        <w:rPr>
          <w:szCs w:val="24"/>
        </w:rPr>
        <w:t>”</w:t>
      </w:r>
      <w:r w:rsidRPr="00182361">
        <w:rPr>
          <w:szCs w:val="24"/>
        </w:rPr>
        <w:t xml:space="preserve"> complaint against the petitioner should not be dismissed for lack of personam jurisdiction and clearly state the Jurisdiction of the court as required by law.</w:t>
      </w:r>
      <w:r w:rsidR="00CC77EE">
        <w:rPr>
          <w:szCs w:val="24"/>
        </w:rPr>
        <w:t xml:space="preserve"> </w:t>
      </w:r>
    </w:p>
    <w:p w14:paraId="7EA89785" w14:textId="0B08B9EF" w:rsidR="00360AE5" w:rsidRDefault="00CC77EE" w:rsidP="00360AE5">
      <w:pPr>
        <w:spacing w:line="360" w:lineRule="auto"/>
        <w:ind w:firstLine="720"/>
        <w:rPr>
          <w:szCs w:val="24"/>
        </w:rPr>
      </w:pPr>
      <w:r w:rsidRPr="00770C1A">
        <w:rPr>
          <w:szCs w:val="24"/>
        </w:rPr>
        <w:t>Both Blacks and Bouvier</w:t>
      </w:r>
      <w:r>
        <w:rPr>
          <w:szCs w:val="24"/>
        </w:rPr>
        <w:t>’</w:t>
      </w:r>
      <w:r w:rsidRPr="00770C1A">
        <w:rPr>
          <w:szCs w:val="24"/>
        </w:rPr>
        <w:t xml:space="preserve">s Law Dictionaries </w:t>
      </w:r>
      <w:r>
        <w:rPr>
          <w:szCs w:val="24"/>
        </w:rPr>
        <w:t>defines</w:t>
      </w:r>
      <w:r w:rsidRPr="00770C1A">
        <w:rPr>
          <w:szCs w:val="24"/>
        </w:rPr>
        <w:t xml:space="preserve"> a complainant as a </w:t>
      </w:r>
      <w:r w:rsidR="00360AE5">
        <w:rPr>
          <w:szCs w:val="24"/>
        </w:rPr>
        <w:t xml:space="preserve">petitioner </w:t>
      </w:r>
      <w:r w:rsidRPr="00770C1A">
        <w:rPr>
          <w:szCs w:val="24"/>
        </w:rPr>
        <w:t xml:space="preserve">in a suit in chancery; </w:t>
      </w:r>
      <w:r>
        <w:rPr>
          <w:szCs w:val="24"/>
        </w:rPr>
        <w:t>“</w:t>
      </w:r>
      <w:r w:rsidRPr="00770C1A">
        <w:rPr>
          <w:szCs w:val="24"/>
        </w:rPr>
        <w:t>A court having the jurisdiction of a chancellor</w:t>
      </w:r>
      <w:r>
        <w:rPr>
          <w:szCs w:val="24"/>
        </w:rPr>
        <w:t xml:space="preserve"> is</w:t>
      </w:r>
      <w:r w:rsidRPr="00770C1A">
        <w:rPr>
          <w:szCs w:val="24"/>
        </w:rPr>
        <w:t xml:space="preserve"> a court administering equity and proceeding according to the forms and principles of equity</w:t>
      </w:r>
      <w:r>
        <w:rPr>
          <w:szCs w:val="24"/>
        </w:rPr>
        <w:t>,</w:t>
      </w:r>
      <w:r w:rsidRPr="00770C1A">
        <w:rPr>
          <w:szCs w:val="24"/>
        </w:rPr>
        <w:t xml:space="preserve"> distinct from the courts of </w:t>
      </w:r>
      <w:r>
        <w:rPr>
          <w:szCs w:val="24"/>
        </w:rPr>
        <w:t>C</w:t>
      </w:r>
      <w:r w:rsidRPr="00770C1A">
        <w:rPr>
          <w:szCs w:val="24"/>
        </w:rPr>
        <w:t xml:space="preserve">ommon </w:t>
      </w:r>
      <w:r>
        <w:rPr>
          <w:szCs w:val="24"/>
        </w:rPr>
        <w:t>L</w:t>
      </w:r>
      <w:r w:rsidRPr="00770C1A">
        <w:rPr>
          <w:szCs w:val="24"/>
        </w:rPr>
        <w:t>aw.</w:t>
      </w:r>
      <w:r>
        <w:rPr>
          <w:szCs w:val="24"/>
        </w:rPr>
        <w:t>”</w:t>
      </w:r>
      <w:r>
        <w:rPr>
          <w:rStyle w:val="FootnoteReference"/>
          <w:szCs w:val="24"/>
        </w:rPr>
        <w:footnoteReference w:id="8"/>
      </w:r>
      <w:r>
        <w:rPr>
          <w:szCs w:val="24"/>
        </w:rPr>
        <w:t xml:space="preserve"> “Courts of Record” are “</w:t>
      </w:r>
      <w:r w:rsidRPr="00770C1A">
        <w:rPr>
          <w:szCs w:val="24"/>
        </w:rPr>
        <w:t>Common Law Actions</w:t>
      </w:r>
      <w:r>
        <w:rPr>
          <w:szCs w:val="24"/>
        </w:rPr>
        <w:t>” and</w:t>
      </w:r>
      <w:r w:rsidRPr="00770C1A">
        <w:rPr>
          <w:szCs w:val="24"/>
        </w:rPr>
        <w:t xml:space="preserve"> are such as will lie, on the particular facts, at common law, without the aid of a statute. </w:t>
      </w:r>
      <w:r w:rsidR="00360AE5">
        <w:rPr>
          <w:szCs w:val="24"/>
        </w:rPr>
        <w:t xml:space="preserve">Petitioner </w:t>
      </w:r>
      <w:r w:rsidR="00360AE5" w:rsidRPr="00770C1A">
        <w:rPr>
          <w:szCs w:val="24"/>
        </w:rPr>
        <w:t>has</w:t>
      </w:r>
      <w:r w:rsidRPr="00770C1A">
        <w:rPr>
          <w:szCs w:val="24"/>
        </w:rPr>
        <w:t xml:space="preserve"> an unalienable right protected under the 7</w:t>
      </w:r>
      <w:r w:rsidRPr="00770C1A">
        <w:rPr>
          <w:szCs w:val="24"/>
          <w:vertAlign w:val="superscript"/>
        </w:rPr>
        <w:t>th</w:t>
      </w:r>
      <w:r w:rsidRPr="00770C1A">
        <w:rPr>
          <w:szCs w:val="24"/>
        </w:rPr>
        <w:t xml:space="preserve"> Amendment to a </w:t>
      </w:r>
      <w:r>
        <w:rPr>
          <w:szCs w:val="24"/>
        </w:rPr>
        <w:t>“</w:t>
      </w:r>
      <w:r w:rsidRPr="00770C1A">
        <w:rPr>
          <w:szCs w:val="24"/>
        </w:rPr>
        <w:t>Court of Law</w:t>
      </w:r>
      <w:r>
        <w:rPr>
          <w:szCs w:val="24"/>
        </w:rPr>
        <w:t>”</w:t>
      </w:r>
      <w:r w:rsidRPr="00770C1A">
        <w:rPr>
          <w:szCs w:val="24"/>
        </w:rPr>
        <w:t xml:space="preserve"> which proceeds under the Common Law </w:t>
      </w:r>
      <w:r w:rsidRPr="00CC77EE">
        <w:rPr>
          <w:szCs w:val="24"/>
        </w:rPr>
        <w:t>and the rules of Common Law. Whereas</w:t>
      </w:r>
      <w:r w:rsidR="00360AE5">
        <w:rPr>
          <w:szCs w:val="24"/>
        </w:rPr>
        <w:t xml:space="preserve"> a court proceeding under</w:t>
      </w:r>
      <w:r w:rsidRPr="00CC77EE">
        <w:rPr>
          <w:szCs w:val="24"/>
        </w:rPr>
        <w:t xml:space="preserve"> “N.Y.S. DMV Uniform Traffic Ticket” are under </w:t>
      </w:r>
      <w:r w:rsidRPr="00770C1A">
        <w:rPr>
          <w:szCs w:val="24"/>
        </w:rPr>
        <w:t>equity, and not Law</w:t>
      </w:r>
      <w:r w:rsidR="00360AE5">
        <w:rPr>
          <w:szCs w:val="24"/>
        </w:rPr>
        <w:t>, petitioner’</w:t>
      </w:r>
      <w:r w:rsidR="00360AE5" w:rsidRPr="00770C1A">
        <w:rPr>
          <w:szCs w:val="24"/>
        </w:rPr>
        <w:t>s right</w:t>
      </w:r>
      <w:r w:rsidR="00360AE5">
        <w:rPr>
          <w:szCs w:val="24"/>
        </w:rPr>
        <w:t>s</w:t>
      </w:r>
      <w:r w:rsidR="00360AE5" w:rsidRPr="00770C1A">
        <w:rPr>
          <w:szCs w:val="24"/>
        </w:rPr>
        <w:t xml:space="preserve"> </w:t>
      </w:r>
      <w:r w:rsidR="00360AE5">
        <w:rPr>
          <w:szCs w:val="24"/>
        </w:rPr>
        <w:t xml:space="preserve">are not to be ignored and hijacked </w:t>
      </w:r>
      <w:r w:rsidR="00462E09">
        <w:rPr>
          <w:szCs w:val="24"/>
        </w:rPr>
        <w:t xml:space="preserve">into jurisdictions unknown </w:t>
      </w:r>
      <w:r w:rsidR="00360AE5">
        <w:rPr>
          <w:szCs w:val="24"/>
        </w:rPr>
        <w:t>via summary proceedings.</w:t>
      </w:r>
    </w:p>
    <w:p w14:paraId="49472C57" w14:textId="372E2C4D" w:rsidR="00182361" w:rsidRPr="00182361" w:rsidRDefault="00182361" w:rsidP="00360AE5">
      <w:pPr>
        <w:spacing w:line="360" w:lineRule="auto"/>
        <w:ind w:firstLine="720"/>
        <w:rPr>
          <w:szCs w:val="24"/>
        </w:rPr>
      </w:pPr>
      <w:r w:rsidRPr="00182361">
        <w:rPr>
          <w:szCs w:val="24"/>
        </w:rPr>
        <w:t xml:space="preserve">After respondent responds the judge must either dismiss the case or </w:t>
      </w:r>
      <w:r w:rsidR="00072B22">
        <w:rPr>
          <w:szCs w:val="24"/>
        </w:rPr>
        <w:t xml:space="preserve">show </w:t>
      </w:r>
      <w:r w:rsidRPr="00182361">
        <w:rPr>
          <w:szCs w:val="24"/>
        </w:rPr>
        <w:t>prove on the record that, the court has personam jurisdiction. Since the court proceeds under statutes and codes petitioner perceives that the court is an administrative nisi prius</w:t>
      </w:r>
      <w:r w:rsidRPr="00182361">
        <w:rPr>
          <w:rStyle w:val="FootnoteReference"/>
          <w:szCs w:val="24"/>
        </w:rPr>
        <w:footnoteReference w:id="9"/>
      </w:r>
      <w:r w:rsidRPr="00182361">
        <w:rPr>
          <w:szCs w:val="24"/>
        </w:rPr>
        <w:t xml:space="preserve"> court and therefore petitioner denies jurisdiction. </w:t>
      </w:r>
    </w:p>
    <w:p w14:paraId="4A7CF459" w14:textId="39C198A8" w:rsidR="00182361" w:rsidRPr="00182361" w:rsidRDefault="00CC77EE" w:rsidP="00182361">
      <w:pPr>
        <w:ind w:left="720" w:right="576"/>
        <w:rPr>
          <w:szCs w:val="24"/>
        </w:rPr>
      </w:pPr>
      <w:r>
        <w:rPr>
          <w:szCs w:val="24"/>
        </w:rPr>
        <w:t>“</w:t>
      </w:r>
      <w:r w:rsidR="00182361" w:rsidRPr="00182361">
        <w:rPr>
          <w:i/>
          <w:szCs w:val="24"/>
        </w:rPr>
        <w:t xml:space="preserve">No judicial process, whatever form it may assume, can have any lawful authority outside of the limits of the jurisdiction of the court or judge by </w:t>
      </w:r>
      <w:r w:rsidR="00182361" w:rsidRPr="00182361">
        <w:rPr>
          <w:i/>
          <w:szCs w:val="24"/>
        </w:rPr>
        <w:lastRenderedPageBreak/>
        <w:t>whom it is issued</w:t>
      </w:r>
      <w:r w:rsidR="00182361" w:rsidRPr="00182361">
        <w:rPr>
          <w:szCs w:val="24"/>
        </w:rPr>
        <w:t>;</w:t>
      </w:r>
      <w:r w:rsidR="00182361" w:rsidRPr="00182361">
        <w:rPr>
          <w:rStyle w:val="FootnoteReference"/>
          <w:szCs w:val="24"/>
        </w:rPr>
        <w:footnoteReference w:id="10"/>
      </w:r>
      <w:r w:rsidR="00182361" w:rsidRPr="00182361">
        <w:rPr>
          <w:szCs w:val="24"/>
        </w:rPr>
        <w:t xml:space="preserve"> and, </w:t>
      </w:r>
      <w:r>
        <w:rPr>
          <w:szCs w:val="24"/>
        </w:rPr>
        <w:t>“</w:t>
      </w:r>
      <w:r w:rsidR="00182361" w:rsidRPr="00182361">
        <w:rPr>
          <w:i/>
          <w:szCs w:val="24"/>
        </w:rPr>
        <w:t xml:space="preserve">Once challenged, jurisdiction cannot be </w:t>
      </w:r>
      <w:r>
        <w:rPr>
          <w:i/>
          <w:szCs w:val="24"/>
        </w:rPr>
        <w:t>‘</w:t>
      </w:r>
      <w:r w:rsidR="00182361" w:rsidRPr="00182361">
        <w:rPr>
          <w:i/>
          <w:szCs w:val="24"/>
        </w:rPr>
        <w:t>assumed</w:t>
      </w:r>
      <w:r>
        <w:rPr>
          <w:i/>
          <w:szCs w:val="24"/>
        </w:rPr>
        <w:t>’</w:t>
      </w:r>
      <w:r w:rsidR="00182361" w:rsidRPr="00182361">
        <w:rPr>
          <w:i/>
          <w:szCs w:val="24"/>
        </w:rPr>
        <w:t>, it must be proved to exist</w:t>
      </w:r>
      <w:r w:rsidR="00182361" w:rsidRPr="00182361">
        <w:rPr>
          <w:szCs w:val="24"/>
        </w:rPr>
        <w:t>.</w:t>
      </w:r>
      <w:r>
        <w:rPr>
          <w:szCs w:val="24"/>
        </w:rPr>
        <w:t>”</w:t>
      </w:r>
      <w:r w:rsidR="00182361" w:rsidRPr="00182361">
        <w:rPr>
          <w:rStyle w:val="FootnoteReference"/>
          <w:szCs w:val="24"/>
        </w:rPr>
        <w:footnoteReference w:id="11"/>
      </w:r>
      <w:r w:rsidR="00182361" w:rsidRPr="00182361">
        <w:rPr>
          <w:szCs w:val="24"/>
        </w:rPr>
        <w:t xml:space="preserve"> </w:t>
      </w:r>
    </w:p>
    <w:p w14:paraId="36B6E601" w14:textId="38922E86" w:rsidR="00182361" w:rsidRPr="00182361" w:rsidRDefault="00182361" w:rsidP="00072B22">
      <w:pPr>
        <w:autoSpaceDE w:val="0"/>
        <w:autoSpaceDN w:val="0"/>
        <w:adjustRightInd w:val="0"/>
        <w:spacing w:line="360" w:lineRule="auto"/>
        <w:ind w:firstLine="720"/>
        <w:rPr>
          <w:rFonts w:cstheme="minorHAnsi"/>
          <w:szCs w:val="24"/>
        </w:rPr>
      </w:pPr>
      <w:r w:rsidRPr="00182361">
        <w:rPr>
          <w:rFonts w:cstheme="minorHAnsi"/>
          <w:szCs w:val="24"/>
        </w:rPr>
        <w:t xml:space="preserve">The definition of Law is that which is laid down, ordained, or established. It is </w:t>
      </w:r>
      <w:r w:rsidR="00CC77EE">
        <w:rPr>
          <w:rFonts w:cstheme="minorHAnsi"/>
          <w:szCs w:val="24"/>
        </w:rPr>
        <w:t>“</w:t>
      </w:r>
      <w:r w:rsidRPr="00182361">
        <w:rPr>
          <w:rFonts w:cstheme="minorHAnsi"/>
          <w:szCs w:val="24"/>
        </w:rPr>
        <w:t>a rule or method according to which phenomena or actions co-exist or follow each other and must be obeyed or be subject to sanctions or legal consequences.</w:t>
      </w:r>
      <w:r w:rsidR="00CC77EE">
        <w:rPr>
          <w:rFonts w:cstheme="minorHAnsi"/>
          <w:szCs w:val="24"/>
        </w:rPr>
        <w:t>”</w:t>
      </w:r>
      <w:r w:rsidRPr="00182361">
        <w:rPr>
          <w:rStyle w:val="FootnoteReference"/>
          <w:rFonts w:cstheme="minorHAnsi"/>
          <w:szCs w:val="24"/>
        </w:rPr>
        <w:footnoteReference w:id="12"/>
      </w:r>
      <w:r w:rsidRPr="00182361">
        <w:rPr>
          <w:rFonts w:cstheme="minorHAnsi"/>
          <w:szCs w:val="24"/>
        </w:rPr>
        <w:t xml:space="preserve"> In our Republic, </w:t>
      </w:r>
      <w:r w:rsidRPr="00182361">
        <w:rPr>
          <w:rFonts w:cstheme="minorHAnsi"/>
          <w:szCs w:val="24"/>
          <w:u w:val="single"/>
        </w:rPr>
        <w:t>Common Law</w:t>
      </w:r>
      <w:r w:rsidRPr="00182361">
        <w:rPr>
          <w:rStyle w:val="FootnoteReference"/>
          <w:rFonts w:cstheme="minorHAnsi"/>
          <w:szCs w:val="24"/>
        </w:rPr>
        <w:footnoteReference w:id="13"/>
      </w:r>
      <w:r w:rsidRPr="00182361">
        <w:rPr>
          <w:rFonts w:cstheme="minorHAnsi"/>
          <w:szCs w:val="24"/>
        </w:rPr>
        <w:t xml:space="preserve"> </w:t>
      </w:r>
      <w:r w:rsidR="000E08AD">
        <w:rPr>
          <w:rFonts w:cstheme="minorHAnsi"/>
          <w:szCs w:val="24"/>
        </w:rPr>
        <w:t>is</w:t>
      </w:r>
      <w:r w:rsidRPr="00182361">
        <w:rPr>
          <w:rFonts w:cstheme="minorHAnsi"/>
          <w:szCs w:val="24"/>
        </w:rPr>
        <w:t xml:space="preserve"> the Law of the Land by which </w:t>
      </w:r>
      <w:r w:rsidR="00E13FA0">
        <w:rPr>
          <w:rFonts w:cstheme="minorHAnsi"/>
          <w:szCs w:val="24"/>
        </w:rPr>
        <w:t>“We the People”</w:t>
      </w:r>
      <w:r w:rsidRPr="00182361">
        <w:rPr>
          <w:rFonts w:cstheme="minorHAnsi"/>
          <w:szCs w:val="24"/>
        </w:rPr>
        <w:t xml:space="preserve"> chose to be judged when we </w:t>
      </w:r>
      <w:r w:rsidR="00CC77EE">
        <w:rPr>
          <w:rFonts w:cstheme="minorHAnsi"/>
          <w:szCs w:val="24"/>
        </w:rPr>
        <w:t>“</w:t>
      </w:r>
      <w:r w:rsidRPr="00182361">
        <w:rPr>
          <w:rFonts w:cstheme="minorHAnsi"/>
          <w:szCs w:val="24"/>
        </w:rPr>
        <w:t>assumed among the powers of the earth, the separate and equal station to which the Laws of Nature and of Nature</w:t>
      </w:r>
      <w:r w:rsidR="00CC77EE">
        <w:rPr>
          <w:rFonts w:cstheme="minorHAnsi"/>
          <w:szCs w:val="24"/>
        </w:rPr>
        <w:t>’</w:t>
      </w:r>
      <w:r w:rsidRPr="00182361">
        <w:rPr>
          <w:rFonts w:cstheme="minorHAnsi"/>
          <w:szCs w:val="24"/>
        </w:rPr>
        <w:t>s God entitle us.</w:t>
      </w:r>
      <w:r w:rsidR="00CC77EE">
        <w:rPr>
          <w:rFonts w:cstheme="minorHAnsi"/>
          <w:szCs w:val="24"/>
        </w:rPr>
        <w:t>”</w:t>
      </w:r>
      <w:r w:rsidRPr="00182361">
        <w:rPr>
          <w:rFonts w:cstheme="minorHAnsi"/>
          <w:szCs w:val="24"/>
        </w:rPr>
        <w:t xml:space="preserve"> </w:t>
      </w:r>
    </w:p>
    <w:p w14:paraId="21A28EE1" w14:textId="7803BC24" w:rsidR="00182361" w:rsidRPr="00182361" w:rsidRDefault="00182361" w:rsidP="000E08AD">
      <w:pPr>
        <w:spacing w:line="360" w:lineRule="auto"/>
        <w:ind w:firstLine="720"/>
        <w:rPr>
          <w:rFonts w:cstheme="minorHAnsi"/>
          <w:szCs w:val="24"/>
        </w:rPr>
      </w:pPr>
      <w:r w:rsidRPr="00182361">
        <w:rPr>
          <w:rFonts w:cstheme="minorHAnsi"/>
          <w:szCs w:val="24"/>
        </w:rPr>
        <w:t>In the United States, before any court can have authority to hear a case, the court must have both in personam and subject matter jurisdiction. Any court not a court of record</w:t>
      </w:r>
      <w:r w:rsidRPr="00182361">
        <w:rPr>
          <w:rStyle w:val="FootnoteReference"/>
          <w:rFonts w:cstheme="minorHAnsi"/>
          <w:szCs w:val="24"/>
        </w:rPr>
        <w:footnoteReference w:id="14"/>
      </w:r>
      <w:r w:rsidRPr="00182361">
        <w:rPr>
          <w:rFonts w:cstheme="minorHAnsi"/>
          <w:szCs w:val="24"/>
        </w:rPr>
        <w:t xml:space="preserve"> has no authority to proceed without the consent of the persons involved. No judge or legislators can alter that which the People ordained, to alter is high treason.</w:t>
      </w:r>
      <w:r w:rsidR="0068400D">
        <w:rPr>
          <w:rFonts w:cstheme="minorHAnsi"/>
          <w:szCs w:val="24"/>
        </w:rPr>
        <w:t xml:space="preserve"> </w:t>
      </w:r>
    </w:p>
    <w:p w14:paraId="74501165" w14:textId="7FC8E647" w:rsidR="00182361" w:rsidRPr="00182361" w:rsidRDefault="00182361" w:rsidP="0068400D">
      <w:pPr>
        <w:spacing w:line="360" w:lineRule="auto"/>
        <w:ind w:firstLine="720"/>
        <w:rPr>
          <w:rFonts w:cstheme="minorHAnsi"/>
          <w:szCs w:val="24"/>
        </w:rPr>
      </w:pPr>
      <w:r w:rsidRPr="00182361">
        <w:rPr>
          <w:rFonts w:cstheme="minorHAnsi"/>
          <w:szCs w:val="24"/>
        </w:rPr>
        <w:t xml:space="preserve">American courts are vested by the People, </w:t>
      </w:r>
      <w:r w:rsidR="00CC77EE">
        <w:rPr>
          <w:rFonts w:cstheme="minorHAnsi"/>
          <w:szCs w:val="24"/>
        </w:rPr>
        <w:t>“</w:t>
      </w:r>
      <w:r w:rsidRPr="00182361">
        <w:rPr>
          <w:rFonts w:cstheme="minorHAnsi"/>
          <w:szCs w:val="24"/>
        </w:rPr>
        <w:t>the author and source of law,</w:t>
      </w:r>
      <w:r w:rsidR="00CC77EE">
        <w:rPr>
          <w:rFonts w:cstheme="minorHAnsi"/>
          <w:szCs w:val="24"/>
        </w:rPr>
        <w:t>”</w:t>
      </w:r>
      <w:r w:rsidRPr="00182361">
        <w:rPr>
          <w:rStyle w:val="FootnoteReference"/>
          <w:rFonts w:cstheme="minorHAnsi"/>
          <w:szCs w:val="24"/>
        </w:rPr>
        <w:footnoteReference w:id="15"/>
      </w:r>
      <w:r w:rsidRPr="00182361">
        <w:rPr>
          <w:rFonts w:cstheme="minorHAnsi"/>
          <w:szCs w:val="24"/>
        </w:rPr>
        <w:t xml:space="preserve"> through constitutions</w:t>
      </w:r>
      <w:r w:rsidRPr="00182361">
        <w:rPr>
          <w:rStyle w:val="FootnoteReference"/>
          <w:rFonts w:cstheme="minorHAnsi"/>
          <w:szCs w:val="24"/>
        </w:rPr>
        <w:footnoteReference w:id="16"/>
      </w:r>
      <w:r w:rsidRPr="00182361">
        <w:rPr>
          <w:rFonts w:cstheme="minorHAnsi"/>
          <w:szCs w:val="24"/>
        </w:rPr>
        <w:t xml:space="preserve"> ordained by </w:t>
      </w:r>
      <w:r w:rsidR="00462E09">
        <w:rPr>
          <w:rFonts w:cstheme="minorHAnsi"/>
          <w:szCs w:val="24"/>
        </w:rPr>
        <w:t>“</w:t>
      </w:r>
      <w:r w:rsidR="00E13FA0">
        <w:rPr>
          <w:rFonts w:cstheme="minorHAnsi"/>
          <w:szCs w:val="24"/>
        </w:rPr>
        <w:t>“We the People”</w:t>
      </w:r>
      <w:r w:rsidRPr="00182361">
        <w:rPr>
          <w:rFonts w:cstheme="minorHAnsi"/>
          <w:szCs w:val="24"/>
        </w:rPr>
        <w:t>.</w:t>
      </w:r>
      <w:r w:rsidR="00462E09">
        <w:rPr>
          <w:rFonts w:cstheme="minorHAnsi"/>
          <w:szCs w:val="24"/>
        </w:rPr>
        <w:t>”</w:t>
      </w:r>
      <w:r w:rsidRPr="00182361">
        <w:rPr>
          <w:rFonts w:cstheme="minorHAnsi"/>
          <w:szCs w:val="24"/>
        </w:rPr>
        <w:t xml:space="preserve"> Therefore, a court must first have </w:t>
      </w:r>
      <w:r w:rsidR="00CC77EE">
        <w:rPr>
          <w:rFonts w:cstheme="minorHAnsi"/>
          <w:szCs w:val="24"/>
        </w:rPr>
        <w:t>“</w:t>
      </w:r>
      <w:r w:rsidRPr="00182361">
        <w:rPr>
          <w:rFonts w:cstheme="minorHAnsi"/>
          <w:szCs w:val="24"/>
        </w:rPr>
        <w:t>constitutional authority</w:t>
      </w:r>
      <w:r w:rsidR="00CC77EE">
        <w:rPr>
          <w:rFonts w:cstheme="minorHAnsi"/>
          <w:szCs w:val="24"/>
        </w:rPr>
        <w:t>”</w:t>
      </w:r>
      <w:r w:rsidRPr="00182361">
        <w:rPr>
          <w:rFonts w:cstheme="minorHAnsi"/>
          <w:szCs w:val="24"/>
        </w:rPr>
        <w:t xml:space="preserve"> over an individual before it can proceed. In criminal cases, a court must have an indictment by a</w:t>
      </w:r>
      <w:r w:rsidR="00E13FA0">
        <w:rPr>
          <w:rFonts w:cstheme="minorHAnsi"/>
          <w:szCs w:val="24"/>
        </w:rPr>
        <w:t xml:space="preserve"> fully informed</w:t>
      </w:r>
      <w:r w:rsidRPr="00182361">
        <w:rPr>
          <w:rFonts w:cstheme="minorHAnsi"/>
          <w:szCs w:val="24"/>
        </w:rPr>
        <w:t xml:space="preserve"> untainted grand jury, in other words, the permission by the People to proceed. Furthermore, </w:t>
      </w:r>
      <w:r w:rsidR="00CC77EE">
        <w:rPr>
          <w:rFonts w:cstheme="minorHAnsi"/>
          <w:szCs w:val="24"/>
        </w:rPr>
        <w:t>“</w:t>
      </w:r>
      <w:r w:rsidRPr="00182361">
        <w:rPr>
          <w:rFonts w:cstheme="minorHAnsi"/>
          <w:szCs w:val="24"/>
        </w:rPr>
        <w:t>all</w:t>
      </w:r>
      <w:r w:rsidR="00CC77EE">
        <w:rPr>
          <w:rFonts w:cstheme="minorHAnsi"/>
          <w:szCs w:val="24"/>
        </w:rPr>
        <w:t>”</w:t>
      </w:r>
      <w:r w:rsidRPr="00182361">
        <w:rPr>
          <w:rFonts w:cstheme="minorHAnsi"/>
          <w:szCs w:val="24"/>
        </w:rPr>
        <w:t xml:space="preserve"> state laws and constitutions are ultimately governed by the </w:t>
      </w:r>
      <w:r w:rsidR="00CC77EE">
        <w:rPr>
          <w:rFonts w:cstheme="minorHAnsi"/>
          <w:szCs w:val="24"/>
        </w:rPr>
        <w:t>“</w:t>
      </w:r>
      <w:r w:rsidRPr="00182361">
        <w:rPr>
          <w:rFonts w:cstheme="minorHAnsi"/>
          <w:szCs w:val="24"/>
        </w:rPr>
        <w:t>Supremacy Clause</w:t>
      </w:r>
      <w:r w:rsidR="00CC77EE">
        <w:rPr>
          <w:rFonts w:cstheme="minorHAnsi"/>
          <w:szCs w:val="24"/>
        </w:rPr>
        <w:t>”</w:t>
      </w:r>
      <w:r w:rsidRPr="00182361">
        <w:rPr>
          <w:rFonts w:cstheme="minorHAnsi"/>
          <w:szCs w:val="24"/>
        </w:rPr>
        <w:t xml:space="preserve"> of the Constitution for the United </w:t>
      </w:r>
      <w:r w:rsidRPr="00182361">
        <w:rPr>
          <w:rFonts w:cstheme="minorHAnsi"/>
          <w:szCs w:val="24"/>
        </w:rPr>
        <w:lastRenderedPageBreak/>
        <w:t xml:space="preserve">States of America as ordained by </w:t>
      </w:r>
      <w:r w:rsidR="00E13FA0">
        <w:rPr>
          <w:rFonts w:cstheme="minorHAnsi"/>
          <w:szCs w:val="24"/>
        </w:rPr>
        <w:t>“We the People”</w:t>
      </w:r>
      <w:r w:rsidRPr="00182361">
        <w:rPr>
          <w:rFonts w:cstheme="minorHAnsi"/>
          <w:szCs w:val="24"/>
        </w:rPr>
        <w:t xml:space="preserve"> in Article VI, clause 2, that defines the </w:t>
      </w:r>
      <w:r w:rsidR="00CC77EE">
        <w:rPr>
          <w:rFonts w:cstheme="minorHAnsi"/>
          <w:szCs w:val="24"/>
        </w:rPr>
        <w:t>“</w:t>
      </w:r>
      <w:r w:rsidRPr="00182361">
        <w:rPr>
          <w:rFonts w:cstheme="minorHAnsi"/>
          <w:szCs w:val="24"/>
        </w:rPr>
        <w:t>Law of the Land</w:t>
      </w:r>
      <w:r w:rsidR="00CC77EE">
        <w:rPr>
          <w:rFonts w:cstheme="minorHAnsi"/>
          <w:szCs w:val="24"/>
        </w:rPr>
        <w:t>”</w:t>
      </w:r>
      <w:r w:rsidRPr="00182361">
        <w:rPr>
          <w:rFonts w:cstheme="minorHAnsi"/>
          <w:szCs w:val="24"/>
        </w:rPr>
        <w:t xml:space="preserve"> which renders </w:t>
      </w:r>
      <w:r w:rsidR="00CC77EE">
        <w:rPr>
          <w:rFonts w:cstheme="minorHAnsi"/>
          <w:szCs w:val="24"/>
        </w:rPr>
        <w:t>“</w:t>
      </w:r>
      <w:r w:rsidRPr="00182361">
        <w:rPr>
          <w:rFonts w:cstheme="minorHAnsi"/>
          <w:szCs w:val="24"/>
        </w:rPr>
        <w:t>anything in the Constitution or Laws of any State to the contrary notwithstanding</w:t>
      </w:r>
      <w:r w:rsidR="00E13FA0">
        <w:rPr>
          <w:rFonts w:cstheme="minorHAnsi"/>
          <w:szCs w:val="24"/>
        </w:rPr>
        <w:t>.</w:t>
      </w:r>
      <w:r w:rsidR="00CC77EE">
        <w:rPr>
          <w:rFonts w:cstheme="minorHAnsi"/>
          <w:szCs w:val="24"/>
        </w:rPr>
        <w:t>”</w:t>
      </w:r>
    </w:p>
    <w:p w14:paraId="3EB850B8" w14:textId="4706DCEA" w:rsidR="00182361" w:rsidRPr="00182361" w:rsidRDefault="00CC77EE" w:rsidP="0068400D">
      <w:pPr>
        <w:spacing w:line="276" w:lineRule="auto"/>
        <w:ind w:right="36"/>
        <w:jc w:val="center"/>
        <w:rPr>
          <w:rFonts w:cstheme="minorHAnsi"/>
          <w:szCs w:val="24"/>
        </w:rPr>
      </w:pPr>
      <w:r>
        <w:rPr>
          <w:rFonts w:cs="Times New Roman"/>
          <w:szCs w:val="24"/>
        </w:rPr>
        <w:t>“</w:t>
      </w:r>
      <w:r w:rsidR="00182361" w:rsidRPr="00182361">
        <w:rPr>
          <w:rFonts w:cs="Times New Roman"/>
          <w:i/>
          <w:szCs w:val="24"/>
        </w:rPr>
        <w:t>Where rights secured by the Constitution are involved, there can be no rule-</w:t>
      </w:r>
      <w:r w:rsidR="00182361" w:rsidRPr="00182361">
        <w:rPr>
          <w:rFonts w:cs="Times New Roman"/>
          <w:i/>
          <w:szCs w:val="24"/>
        </w:rPr>
        <w:br/>
        <w:t>making or legislation which would abrogate them</w:t>
      </w:r>
      <w:r w:rsidR="00182361" w:rsidRPr="00182361">
        <w:rPr>
          <w:rFonts w:cs="Times New Roman"/>
          <w:szCs w:val="24"/>
        </w:rPr>
        <w:t>.</w:t>
      </w:r>
      <w:r>
        <w:rPr>
          <w:rFonts w:cs="Times New Roman"/>
          <w:szCs w:val="24"/>
        </w:rPr>
        <w:t>”</w:t>
      </w:r>
      <w:r w:rsidR="00182361" w:rsidRPr="00182361">
        <w:rPr>
          <w:rFonts w:cs="Times New Roman"/>
          <w:szCs w:val="24"/>
        </w:rPr>
        <w:t xml:space="preserve"> </w:t>
      </w:r>
      <w:r w:rsidR="00182361" w:rsidRPr="00182361">
        <w:rPr>
          <w:rFonts w:cs="Times New Roman"/>
          <w:szCs w:val="24"/>
          <w:u w:val="single"/>
        </w:rPr>
        <w:t>Miranda v. State of Arizona</w:t>
      </w:r>
    </w:p>
    <w:p w14:paraId="3FFD7497" w14:textId="1132770C" w:rsidR="00182361" w:rsidRPr="00182361" w:rsidRDefault="00E13FA0" w:rsidP="0068400D">
      <w:pPr>
        <w:spacing w:line="360" w:lineRule="auto"/>
        <w:ind w:firstLine="720"/>
        <w:rPr>
          <w:rFonts w:cstheme="minorHAnsi"/>
          <w:szCs w:val="24"/>
        </w:rPr>
      </w:pPr>
      <w:r>
        <w:rPr>
          <w:rFonts w:cstheme="minorHAnsi"/>
          <w:szCs w:val="24"/>
        </w:rPr>
        <w:t>“We the People”</w:t>
      </w:r>
      <w:r w:rsidR="00182361" w:rsidRPr="00182361">
        <w:rPr>
          <w:rFonts w:cstheme="minorHAnsi"/>
          <w:szCs w:val="24"/>
        </w:rPr>
        <w:t xml:space="preserve"> ordained</w:t>
      </w:r>
      <w:r w:rsidR="00182361" w:rsidRPr="00182361">
        <w:rPr>
          <w:rFonts w:cstheme="minorHAnsi"/>
          <w:b/>
          <w:smallCaps/>
          <w:szCs w:val="24"/>
        </w:rPr>
        <w:t xml:space="preserve"> </w:t>
      </w:r>
      <w:r w:rsidR="00182361" w:rsidRPr="00182361">
        <w:rPr>
          <w:rFonts w:cstheme="minorHAnsi"/>
          <w:szCs w:val="24"/>
        </w:rPr>
        <w:t>and established the Constitution for the United States of America.</w:t>
      </w:r>
      <w:r w:rsidR="00182361" w:rsidRPr="00182361">
        <w:rPr>
          <w:rStyle w:val="FootnoteReference"/>
          <w:rFonts w:cstheme="minorHAnsi"/>
          <w:szCs w:val="24"/>
        </w:rPr>
        <w:footnoteReference w:id="17"/>
      </w:r>
      <w:r w:rsidR="00182361" w:rsidRPr="00182361">
        <w:rPr>
          <w:rFonts w:cstheme="minorHAnsi"/>
          <w:szCs w:val="24"/>
        </w:rPr>
        <w:t xml:space="preserve"> </w:t>
      </w:r>
      <w:r>
        <w:rPr>
          <w:rFonts w:cstheme="minorHAnsi"/>
          <w:szCs w:val="24"/>
        </w:rPr>
        <w:t>“We the People”</w:t>
      </w:r>
      <w:r w:rsidR="00182361" w:rsidRPr="00182361">
        <w:rPr>
          <w:rFonts w:cstheme="minorHAnsi"/>
          <w:szCs w:val="24"/>
        </w:rPr>
        <w:t xml:space="preserve"> vested Congress to make law via Article I Section 8.</w:t>
      </w:r>
      <w:r w:rsidR="00182361" w:rsidRPr="00182361">
        <w:rPr>
          <w:rStyle w:val="FootnoteReference"/>
          <w:rFonts w:cstheme="minorHAnsi"/>
          <w:szCs w:val="24"/>
        </w:rPr>
        <w:footnoteReference w:id="18"/>
      </w:r>
      <w:r w:rsidR="00182361" w:rsidRPr="00182361">
        <w:rPr>
          <w:rFonts w:cstheme="minorHAnsi"/>
          <w:szCs w:val="24"/>
        </w:rPr>
        <w:t xml:space="preserve"> </w:t>
      </w:r>
      <w:r>
        <w:rPr>
          <w:rFonts w:cstheme="minorHAnsi"/>
          <w:szCs w:val="24"/>
        </w:rPr>
        <w:t>“We the People”</w:t>
      </w:r>
      <w:r w:rsidR="00182361" w:rsidRPr="00182361">
        <w:rPr>
          <w:rFonts w:cstheme="minorHAnsi"/>
          <w:szCs w:val="24"/>
        </w:rPr>
        <w:t xml:space="preserve"> did not vest Congress with law making powers to control the peoples</w:t>
      </w:r>
      <w:r w:rsidR="00CC77EE">
        <w:rPr>
          <w:rFonts w:cstheme="minorHAnsi"/>
          <w:szCs w:val="24"/>
        </w:rPr>
        <w:t>’</w:t>
      </w:r>
      <w:r w:rsidR="00182361" w:rsidRPr="00182361">
        <w:rPr>
          <w:rFonts w:cstheme="minorHAnsi"/>
          <w:szCs w:val="24"/>
        </w:rPr>
        <w:t xml:space="preserve"> behavior. </w:t>
      </w:r>
      <w:r>
        <w:rPr>
          <w:rFonts w:cstheme="minorHAnsi"/>
          <w:szCs w:val="24"/>
        </w:rPr>
        <w:t>“We the People”</w:t>
      </w:r>
      <w:r w:rsidR="00182361" w:rsidRPr="00182361">
        <w:rPr>
          <w:rFonts w:cstheme="minorHAnsi"/>
          <w:szCs w:val="24"/>
        </w:rPr>
        <w:t xml:space="preserve"> are above the Constitution and </w:t>
      </w:r>
      <w:r w:rsidR="00182361" w:rsidRPr="00182361">
        <w:rPr>
          <w:rFonts w:cstheme="minorHAnsi"/>
          <w:smallCaps/>
          <w:szCs w:val="24"/>
          <w:u w:val="single"/>
        </w:rPr>
        <w:t>All Legislated Law</w:t>
      </w:r>
      <w:r w:rsidR="00182361" w:rsidRPr="00182361">
        <w:rPr>
          <w:rFonts w:cstheme="minorHAnsi"/>
          <w:szCs w:val="24"/>
        </w:rPr>
        <w:t xml:space="preserve">, whereas government authorities are under the Constitutions. </w:t>
      </w:r>
      <w:r>
        <w:rPr>
          <w:rFonts w:cstheme="minorHAnsi"/>
          <w:szCs w:val="24"/>
        </w:rPr>
        <w:t>“We the People”</w:t>
      </w:r>
      <w:r w:rsidR="00182361" w:rsidRPr="00182361">
        <w:rPr>
          <w:rFonts w:cstheme="minorHAnsi"/>
          <w:szCs w:val="24"/>
        </w:rPr>
        <w:t xml:space="preserve"> are subject only to the Laws of Nature and of Nature</w:t>
      </w:r>
      <w:r w:rsidR="00CC77EE">
        <w:rPr>
          <w:rFonts w:cstheme="minorHAnsi"/>
          <w:szCs w:val="24"/>
        </w:rPr>
        <w:t>’</w:t>
      </w:r>
      <w:r w:rsidR="00182361" w:rsidRPr="00182361">
        <w:rPr>
          <w:rFonts w:cstheme="minorHAnsi"/>
          <w:szCs w:val="24"/>
        </w:rPr>
        <w:t>s God.</w:t>
      </w:r>
      <w:r w:rsidR="00182361" w:rsidRPr="00182361">
        <w:rPr>
          <w:rStyle w:val="FootnoteReference"/>
          <w:rFonts w:cstheme="minorHAnsi"/>
          <w:szCs w:val="24"/>
        </w:rPr>
        <w:footnoteReference w:id="19"/>
      </w:r>
      <w:r w:rsidR="00182361" w:rsidRPr="00182361">
        <w:rPr>
          <w:rFonts w:cstheme="minorHAnsi"/>
          <w:szCs w:val="24"/>
        </w:rPr>
        <w:t xml:space="preserve"> </w:t>
      </w:r>
    </w:p>
    <w:p w14:paraId="796EA536" w14:textId="621631C5" w:rsidR="00182361" w:rsidRPr="00182361" w:rsidRDefault="00CC77EE" w:rsidP="00182361">
      <w:pPr>
        <w:ind w:left="720" w:right="576"/>
        <w:rPr>
          <w:rFonts w:cstheme="minorHAnsi"/>
          <w:szCs w:val="24"/>
        </w:rPr>
      </w:pPr>
      <w:r>
        <w:rPr>
          <w:rFonts w:cstheme="minorHAnsi"/>
          <w:szCs w:val="24"/>
        </w:rPr>
        <w:t>“</w:t>
      </w:r>
      <w:r w:rsidR="00182361" w:rsidRPr="00182361">
        <w:rPr>
          <w:rFonts w:cstheme="minorHAnsi"/>
          <w:i/>
          <w:szCs w:val="24"/>
        </w:rPr>
        <w:t>All codes, rules, and regulations are for government authorities only, not human/creators in accordance with God</w:t>
      </w:r>
      <w:r>
        <w:rPr>
          <w:rFonts w:cstheme="minorHAnsi"/>
          <w:i/>
          <w:szCs w:val="24"/>
        </w:rPr>
        <w:t>’</w:t>
      </w:r>
      <w:r w:rsidR="00182361" w:rsidRPr="00182361">
        <w:rPr>
          <w:rFonts w:cstheme="minorHAnsi"/>
          <w:i/>
          <w:szCs w:val="24"/>
        </w:rPr>
        <w:t>s laws. All codes, rules, and regulations are unconstitutional and lacking due process</w:t>
      </w:r>
      <w:r w:rsidR="00182361" w:rsidRPr="00182361">
        <w:rPr>
          <w:rFonts w:cstheme="minorHAnsi"/>
          <w:szCs w:val="24"/>
        </w:rPr>
        <w:t>….</w:t>
      </w:r>
      <w:r>
        <w:rPr>
          <w:rFonts w:cstheme="minorHAnsi"/>
          <w:szCs w:val="24"/>
        </w:rPr>
        <w:t>”</w:t>
      </w:r>
      <w:r w:rsidR="00182361" w:rsidRPr="00182361">
        <w:rPr>
          <w:rStyle w:val="FootnoteReference"/>
          <w:rFonts w:cstheme="minorHAnsi"/>
          <w:szCs w:val="24"/>
        </w:rPr>
        <w:footnoteReference w:id="20"/>
      </w:r>
    </w:p>
    <w:p w14:paraId="33948D32" w14:textId="0FE2E5D4" w:rsidR="00182361" w:rsidRPr="00182361" w:rsidRDefault="00182361" w:rsidP="00182361">
      <w:pPr>
        <w:spacing w:line="360" w:lineRule="auto"/>
        <w:rPr>
          <w:rFonts w:cstheme="minorHAnsi"/>
          <w:szCs w:val="24"/>
        </w:rPr>
      </w:pPr>
      <w:r w:rsidRPr="00182361">
        <w:rPr>
          <w:rFonts w:cstheme="minorHAnsi"/>
          <w:szCs w:val="24"/>
        </w:rPr>
        <w:t xml:space="preserve">The phrase </w:t>
      </w:r>
      <w:r w:rsidR="00CC77EE">
        <w:rPr>
          <w:rFonts w:cstheme="minorHAnsi"/>
          <w:szCs w:val="24"/>
        </w:rPr>
        <w:t>“</w:t>
      </w:r>
      <w:r w:rsidRPr="00182361">
        <w:rPr>
          <w:rFonts w:cstheme="minorHAnsi"/>
          <w:szCs w:val="24"/>
        </w:rPr>
        <w:t>at Law</w:t>
      </w:r>
      <w:r w:rsidR="00CC77EE">
        <w:rPr>
          <w:rFonts w:cstheme="minorHAnsi"/>
          <w:szCs w:val="24"/>
        </w:rPr>
        <w:t>”</w:t>
      </w:r>
      <w:r w:rsidRPr="00182361">
        <w:rPr>
          <w:rFonts w:cstheme="minorHAnsi"/>
          <w:szCs w:val="24"/>
        </w:rPr>
        <w:t xml:space="preserve"> is used to point out that a thing is to be done according to the course of the common law. It is distinguished from a proceeding in equity.</w:t>
      </w:r>
      <w:r w:rsidRPr="00182361">
        <w:rPr>
          <w:rStyle w:val="FootnoteReference"/>
          <w:rFonts w:cstheme="minorHAnsi"/>
          <w:szCs w:val="24"/>
        </w:rPr>
        <w:footnoteReference w:id="21"/>
      </w:r>
      <w:r w:rsidRPr="00182361">
        <w:rPr>
          <w:rFonts w:cstheme="minorHAnsi"/>
          <w:szCs w:val="24"/>
        </w:rPr>
        <w:t xml:space="preserve"> </w:t>
      </w:r>
      <w:r w:rsidR="00CC77EE">
        <w:rPr>
          <w:rFonts w:cstheme="minorHAnsi"/>
          <w:szCs w:val="24"/>
        </w:rPr>
        <w:t>“</w:t>
      </w:r>
      <w:r w:rsidRPr="00182361">
        <w:rPr>
          <w:rFonts w:cstheme="minorHAnsi"/>
          <w:i/>
          <w:szCs w:val="24"/>
        </w:rPr>
        <w:t>All laws, rules and practices which are repugnant to the Constitution are null and void</w:t>
      </w:r>
      <w:r w:rsidRPr="00182361">
        <w:rPr>
          <w:rFonts w:cstheme="minorHAnsi"/>
          <w:szCs w:val="24"/>
        </w:rPr>
        <w:t>.</w:t>
      </w:r>
      <w:r w:rsidR="00CC77EE">
        <w:rPr>
          <w:rFonts w:cstheme="minorHAnsi"/>
          <w:szCs w:val="24"/>
        </w:rPr>
        <w:t>”</w:t>
      </w:r>
      <w:r w:rsidRPr="00182361">
        <w:rPr>
          <w:rStyle w:val="FootnoteReference"/>
          <w:rFonts w:cstheme="minorHAnsi"/>
          <w:szCs w:val="24"/>
        </w:rPr>
        <w:footnoteReference w:id="22"/>
      </w:r>
      <w:r w:rsidR="0068400D">
        <w:rPr>
          <w:rFonts w:cstheme="minorHAnsi"/>
          <w:szCs w:val="24"/>
        </w:rPr>
        <w:t xml:space="preserve"> </w:t>
      </w:r>
      <w:r w:rsidRPr="00182361">
        <w:rPr>
          <w:rFonts w:cstheme="minorHAnsi"/>
          <w:szCs w:val="24"/>
        </w:rPr>
        <w:t>In maintaining harmony with the U</w:t>
      </w:r>
      <w:r w:rsidR="0068400D">
        <w:rPr>
          <w:rFonts w:cstheme="minorHAnsi"/>
          <w:szCs w:val="24"/>
        </w:rPr>
        <w:t>.</w:t>
      </w:r>
      <w:r w:rsidRPr="00182361">
        <w:rPr>
          <w:rFonts w:cstheme="minorHAnsi"/>
          <w:szCs w:val="24"/>
        </w:rPr>
        <w:t>S</w:t>
      </w:r>
      <w:r w:rsidR="0068400D">
        <w:rPr>
          <w:rFonts w:cstheme="minorHAnsi"/>
          <w:szCs w:val="24"/>
        </w:rPr>
        <w:t>.</w:t>
      </w:r>
      <w:r w:rsidRPr="00182361">
        <w:rPr>
          <w:rFonts w:cstheme="minorHAnsi"/>
          <w:szCs w:val="24"/>
        </w:rPr>
        <w:t xml:space="preserve"> Constitution the New York State Constitution did not list town and/or village courts as </w:t>
      </w:r>
      <w:r w:rsidR="0068400D">
        <w:rPr>
          <w:rFonts w:cstheme="minorHAnsi"/>
          <w:szCs w:val="24"/>
        </w:rPr>
        <w:t>“C</w:t>
      </w:r>
      <w:r w:rsidRPr="00182361">
        <w:rPr>
          <w:rFonts w:cstheme="minorHAnsi"/>
          <w:szCs w:val="24"/>
        </w:rPr>
        <w:t xml:space="preserve">ourts of </w:t>
      </w:r>
      <w:r w:rsidR="0068400D">
        <w:rPr>
          <w:rFonts w:cstheme="minorHAnsi"/>
          <w:szCs w:val="24"/>
        </w:rPr>
        <w:t>R</w:t>
      </w:r>
      <w:r w:rsidRPr="00182361">
        <w:rPr>
          <w:rFonts w:cstheme="minorHAnsi"/>
          <w:szCs w:val="24"/>
        </w:rPr>
        <w:t>ecord.</w:t>
      </w:r>
      <w:r w:rsidR="0068400D">
        <w:rPr>
          <w:rFonts w:cstheme="minorHAnsi"/>
          <w:szCs w:val="24"/>
        </w:rPr>
        <w:t>”</w:t>
      </w:r>
    </w:p>
    <w:p w14:paraId="64F98696" w14:textId="38AD1E06" w:rsidR="00182361" w:rsidRPr="00182361" w:rsidRDefault="00182361" w:rsidP="00182361">
      <w:pPr>
        <w:ind w:left="720" w:right="576"/>
        <w:rPr>
          <w:rFonts w:cstheme="minorHAnsi"/>
          <w:szCs w:val="24"/>
        </w:rPr>
      </w:pPr>
      <w:r w:rsidRPr="00182361">
        <w:rPr>
          <w:rFonts w:cstheme="minorHAnsi"/>
          <w:smallCaps/>
          <w:szCs w:val="24"/>
          <w:u w:val="single"/>
        </w:rPr>
        <w:t>Article VI Section</w:t>
      </w:r>
      <w:r w:rsidRPr="00182361">
        <w:rPr>
          <w:rFonts w:cstheme="minorHAnsi"/>
          <w:szCs w:val="24"/>
          <w:u w:val="single"/>
        </w:rPr>
        <w:t xml:space="preserve"> 1b</w:t>
      </w:r>
      <w:r w:rsidRPr="00182361">
        <w:rPr>
          <w:rFonts w:cstheme="minorHAnsi"/>
          <w:szCs w:val="24"/>
        </w:rPr>
        <w:t xml:space="preserve">: </w:t>
      </w:r>
      <w:r w:rsidRPr="00182361">
        <w:rPr>
          <w:rFonts w:cstheme="minorHAnsi"/>
          <w:i/>
          <w:szCs w:val="24"/>
        </w:rPr>
        <w:t>The court of appeals, the supreme court including the appellate divisions thereof, the court of claims, the county court, the surrogate</w:t>
      </w:r>
      <w:r w:rsidR="00CC77EE">
        <w:rPr>
          <w:rFonts w:cstheme="minorHAnsi"/>
          <w:i/>
          <w:szCs w:val="24"/>
        </w:rPr>
        <w:t>’</w:t>
      </w:r>
      <w:r w:rsidRPr="00182361">
        <w:rPr>
          <w:rFonts w:cstheme="minorHAnsi"/>
          <w:i/>
          <w:szCs w:val="24"/>
        </w:rPr>
        <w:t>s court, the family court, the courts or court of civil and criminal jurisdiction of the city of New York, and such other courts as the legislature may determine shall be courts of record</w:t>
      </w:r>
      <w:r w:rsidRPr="00182361">
        <w:rPr>
          <w:rFonts w:cstheme="minorHAnsi"/>
          <w:szCs w:val="24"/>
        </w:rPr>
        <w:t xml:space="preserve">. </w:t>
      </w:r>
    </w:p>
    <w:p w14:paraId="53AD1703" w14:textId="21FCCD55" w:rsidR="00182361" w:rsidRPr="00182361" w:rsidRDefault="00182361" w:rsidP="0068400D">
      <w:pPr>
        <w:spacing w:line="360" w:lineRule="auto"/>
        <w:ind w:firstLine="720"/>
        <w:rPr>
          <w:rFonts w:cstheme="minorHAnsi"/>
          <w:szCs w:val="24"/>
          <w:u w:val="single"/>
        </w:rPr>
      </w:pPr>
      <w:r w:rsidRPr="00182361">
        <w:rPr>
          <w:rFonts w:cstheme="minorHAnsi"/>
          <w:szCs w:val="24"/>
        </w:rPr>
        <w:lastRenderedPageBreak/>
        <w:t xml:space="preserve">In maintaining harmony with the US Constitution and the New York State Constitution New York State legislators clearly did not list town and/or village courts as </w:t>
      </w:r>
      <w:r w:rsidR="00E13FA0">
        <w:rPr>
          <w:rFonts w:cstheme="minorHAnsi"/>
          <w:szCs w:val="24"/>
        </w:rPr>
        <w:t>“C</w:t>
      </w:r>
      <w:r w:rsidRPr="00182361">
        <w:rPr>
          <w:rFonts w:cstheme="minorHAnsi"/>
          <w:szCs w:val="24"/>
        </w:rPr>
        <w:t xml:space="preserve">ourts of </w:t>
      </w:r>
      <w:r w:rsidR="00E13FA0">
        <w:rPr>
          <w:rFonts w:cstheme="minorHAnsi"/>
          <w:szCs w:val="24"/>
        </w:rPr>
        <w:t>R</w:t>
      </w:r>
      <w:r w:rsidRPr="00182361">
        <w:rPr>
          <w:rFonts w:cstheme="minorHAnsi"/>
          <w:szCs w:val="24"/>
        </w:rPr>
        <w:t>ecord.</w:t>
      </w:r>
      <w:r w:rsidR="00E13FA0">
        <w:rPr>
          <w:rFonts w:cstheme="minorHAnsi"/>
          <w:szCs w:val="24"/>
        </w:rPr>
        <w:t>”</w:t>
      </w:r>
    </w:p>
    <w:p w14:paraId="3258A4DC" w14:textId="616703A5" w:rsidR="00182361" w:rsidRPr="00182361" w:rsidRDefault="00182361" w:rsidP="0068400D">
      <w:pPr>
        <w:spacing w:line="240" w:lineRule="auto"/>
        <w:ind w:left="720" w:right="720"/>
        <w:rPr>
          <w:rFonts w:cstheme="minorHAnsi"/>
          <w:szCs w:val="24"/>
        </w:rPr>
      </w:pPr>
      <w:r w:rsidRPr="00182361">
        <w:rPr>
          <w:rFonts w:cstheme="minorHAnsi"/>
          <w:smallCaps/>
          <w:szCs w:val="24"/>
          <w:u w:val="single"/>
        </w:rPr>
        <w:t>New York Public Law Section</w:t>
      </w:r>
      <w:r w:rsidRPr="00182361">
        <w:rPr>
          <w:rFonts w:cstheme="minorHAnsi"/>
          <w:szCs w:val="24"/>
          <w:u w:val="single"/>
        </w:rPr>
        <w:t xml:space="preserve"> 2</w:t>
      </w:r>
      <w:r w:rsidRPr="00182361">
        <w:rPr>
          <w:rFonts w:cstheme="minorHAnsi"/>
          <w:szCs w:val="24"/>
        </w:rPr>
        <w:t xml:space="preserve">: Courts of Record Each of the following courts of the state is a court of record: (1) The court for the trial of impeachments. (2) A court on the judiciary. (3) The court of appeals. (4) The appellate division of the supreme court in each department. (5) The supreme court. (6) The court of claims. (7) A county court in each county, except the counties of New York, Bronx, Kings, Queens and Richmond. (8) The family </w:t>
      </w:r>
      <w:r w:rsidR="00E13FA0" w:rsidRPr="00182361">
        <w:rPr>
          <w:rFonts w:cstheme="minorHAnsi"/>
          <w:szCs w:val="24"/>
        </w:rPr>
        <w:t>courts</w:t>
      </w:r>
      <w:r w:rsidRPr="00182361">
        <w:rPr>
          <w:rFonts w:cstheme="minorHAnsi"/>
          <w:szCs w:val="24"/>
        </w:rPr>
        <w:t xml:space="preserve">. (9) A </w:t>
      </w:r>
      <w:proofErr w:type="gramStart"/>
      <w:r w:rsidRPr="00182361">
        <w:rPr>
          <w:rFonts w:cstheme="minorHAnsi"/>
          <w:szCs w:val="24"/>
        </w:rPr>
        <w:t>surrogates</w:t>
      </w:r>
      <w:proofErr w:type="gramEnd"/>
      <w:r w:rsidRPr="00182361">
        <w:rPr>
          <w:rFonts w:cstheme="minorHAnsi"/>
          <w:szCs w:val="24"/>
        </w:rPr>
        <w:t xml:space="preserve"> court in each county. (10) Each city court outside the city of New York. (11) The district court in each county or portion thereof in which such court shall be established. (12) The civil court of the city of New York and the criminal court of the city of New York. </w:t>
      </w:r>
      <w:r w:rsidRPr="00182361">
        <w:rPr>
          <w:rFonts w:cstheme="minorHAnsi"/>
          <w:smallCaps/>
          <w:szCs w:val="24"/>
          <w:u w:val="single"/>
        </w:rPr>
        <w:t xml:space="preserve">All courts other than those specified in this section are courts </w:t>
      </w:r>
      <w:r w:rsidRPr="00182361">
        <w:rPr>
          <w:rFonts w:cstheme="minorHAnsi"/>
          <w:smallCaps/>
          <w:szCs w:val="24"/>
          <w:u w:val="double"/>
        </w:rPr>
        <w:t>Not Of Record</w:t>
      </w:r>
      <w:r w:rsidRPr="00182361">
        <w:rPr>
          <w:rFonts w:cstheme="minorHAnsi"/>
          <w:szCs w:val="24"/>
        </w:rPr>
        <w:t>.</w:t>
      </w:r>
    </w:p>
    <w:p w14:paraId="18B6273A" w14:textId="680F9505" w:rsidR="00182361" w:rsidRPr="00182361" w:rsidRDefault="0068400D" w:rsidP="0068400D">
      <w:pPr>
        <w:tabs>
          <w:tab w:val="left" w:pos="720"/>
          <w:tab w:val="left" w:pos="2370"/>
        </w:tabs>
        <w:spacing w:line="360" w:lineRule="auto"/>
        <w:rPr>
          <w:rFonts w:cstheme="minorHAnsi"/>
          <w:szCs w:val="24"/>
        </w:rPr>
      </w:pPr>
      <w:r>
        <w:rPr>
          <w:rFonts w:cstheme="minorHAnsi"/>
          <w:smallCaps/>
          <w:szCs w:val="24"/>
        </w:rPr>
        <w:tab/>
      </w:r>
      <w:r w:rsidR="00182361" w:rsidRPr="00182361">
        <w:rPr>
          <w:rFonts w:cstheme="minorHAnsi"/>
          <w:smallCaps/>
          <w:szCs w:val="24"/>
        </w:rPr>
        <w:t>Section 155 Traffic infractions</w:t>
      </w:r>
      <w:r w:rsidR="00182361" w:rsidRPr="00182361">
        <w:rPr>
          <w:rFonts w:cstheme="minorHAnsi"/>
          <w:szCs w:val="24"/>
        </w:rPr>
        <w:t xml:space="preserve"> (VAT) clearly </w:t>
      </w:r>
      <w:r w:rsidR="00E13FA0" w:rsidRPr="00182361">
        <w:rPr>
          <w:rFonts w:cstheme="minorHAnsi"/>
          <w:szCs w:val="24"/>
        </w:rPr>
        <w:t>state</w:t>
      </w:r>
      <w:r w:rsidR="00182361" w:rsidRPr="00182361">
        <w:rPr>
          <w:rFonts w:cstheme="minorHAnsi"/>
          <w:szCs w:val="24"/>
        </w:rPr>
        <w:t xml:space="preserve"> that </w:t>
      </w:r>
      <w:r w:rsidR="00CC77EE">
        <w:rPr>
          <w:rFonts w:cstheme="minorHAnsi"/>
          <w:szCs w:val="24"/>
        </w:rPr>
        <w:t>“</w:t>
      </w:r>
      <w:r w:rsidR="00182361" w:rsidRPr="00182361">
        <w:rPr>
          <w:rFonts w:cstheme="minorHAnsi"/>
          <w:i/>
          <w:szCs w:val="24"/>
        </w:rPr>
        <w:t>a traffic infraction is not a crime</w:t>
      </w:r>
      <w:r w:rsidR="00CC77EE">
        <w:rPr>
          <w:rFonts w:cstheme="minorHAnsi"/>
          <w:szCs w:val="24"/>
        </w:rPr>
        <w:t>”</w:t>
      </w:r>
      <w:r w:rsidR="00182361" w:rsidRPr="00182361">
        <w:rPr>
          <w:rFonts w:cstheme="minorHAnsi"/>
          <w:szCs w:val="24"/>
        </w:rPr>
        <w:t xml:space="preserve"> and that </w:t>
      </w:r>
      <w:r w:rsidR="00CC77EE">
        <w:rPr>
          <w:rFonts w:cstheme="minorHAnsi"/>
          <w:szCs w:val="24"/>
        </w:rPr>
        <w:t>“</w:t>
      </w:r>
      <w:r w:rsidR="00182361" w:rsidRPr="00182361">
        <w:rPr>
          <w:rFonts w:cstheme="minorHAnsi"/>
          <w:i/>
          <w:szCs w:val="24"/>
        </w:rPr>
        <w:t>no jury trial shall be allowed for traffic infractions</w:t>
      </w:r>
      <w:r>
        <w:rPr>
          <w:rFonts w:cstheme="minorHAnsi"/>
          <w:i/>
          <w:szCs w:val="24"/>
        </w:rPr>
        <w:t>.</w:t>
      </w:r>
      <w:r w:rsidR="00CC77EE">
        <w:rPr>
          <w:rFonts w:cstheme="minorHAnsi"/>
          <w:szCs w:val="24"/>
        </w:rPr>
        <w:t>”</w:t>
      </w:r>
      <w:r w:rsidR="00182361" w:rsidRPr="00182361">
        <w:rPr>
          <w:rFonts w:cstheme="minorHAnsi"/>
          <w:szCs w:val="24"/>
        </w:rPr>
        <w:t xml:space="preserve"> Tribunals for all courts of record are the jury (people), therefore, Section 155 impedes a court of record.</w:t>
      </w:r>
      <w:r>
        <w:rPr>
          <w:rFonts w:cstheme="minorHAnsi"/>
          <w:szCs w:val="24"/>
        </w:rPr>
        <w:t xml:space="preserve"> </w:t>
      </w:r>
      <w:r w:rsidR="00182361" w:rsidRPr="00182361">
        <w:rPr>
          <w:rFonts w:cs="Times New Roman"/>
          <w:szCs w:val="24"/>
        </w:rPr>
        <w:t>The Common Law permits destruction of the abatement of nuisances (traffic codes for commercial activities only) by summary proceedings;</w:t>
      </w:r>
    </w:p>
    <w:p w14:paraId="1F0B9AF0" w14:textId="2124028F" w:rsidR="00182361" w:rsidRPr="00182361" w:rsidRDefault="00182361" w:rsidP="0068400D">
      <w:pPr>
        <w:spacing w:line="240" w:lineRule="auto"/>
        <w:ind w:left="720" w:right="720"/>
        <w:rPr>
          <w:rFonts w:cs="Times New Roman"/>
          <w:szCs w:val="24"/>
        </w:rPr>
      </w:pPr>
      <w:r w:rsidRPr="00182361">
        <w:rPr>
          <w:rFonts w:cs="Times New Roman"/>
          <w:szCs w:val="24"/>
        </w:rPr>
        <w:t xml:space="preserve">16 </w:t>
      </w:r>
      <w:r w:rsidRPr="00182361">
        <w:rPr>
          <w:rFonts w:cs="Times New Roman"/>
          <w:smallCaps/>
          <w:szCs w:val="24"/>
        </w:rPr>
        <w:t>American Jurisprudence 2</w:t>
      </w:r>
      <w:r w:rsidRPr="00182361">
        <w:rPr>
          <w:rFonts w:cs="Times New Roman"/>
          <w:smallCaps/>
          <w:szCs w:val="24"/>
          <w:vertAlign w:val="superscript"/>
        </w:rPr>
        <w:t>nd</w:t>
      </w:r>
      <w:r w:rsidRPr="00182361">
        <w:rPr>
          <w:rFonts w:cs="Times New Roman"/>
          <w:smallCaps/>
          <w:szCs w:val="24"/>
        </w:rPr>
        <w:t>, Section</w:t>
      </w:r>
      <w:r w:rsidRPr="00182361">
        <w:rPr>
          <w:rFonts w:cs="Times New Roman"/>
          <w:szCs w:val="24"/>
        </w:rPr>
        <w:t xml:space="preserve"> 114: </w:t>
      </w:r>
      <w:r w:rsidR="00CC77EE">
        <w:rPr>
          <w:rFonts w:cs="Times New Roman"/>
          <w:szCs w:val="24"/>
        </w:rPr>
        <w:t>“</w:t>
      </w:r>
      <w:r w:rsidRPr="00182361">
        <w:rPr>
          <w:rFonts w:cs="Times New Roman"/>
          <w:i/>
          <w:szCs w:val="24"/>
        </w:rPr>
        <w:t>As to the construction, with reference to Common Law, an important cannon of construction is that constitutions must be construed to reference to the Common Law. The Common Law, so permitted destruction of the abatement of nuisances by summary proceedings and it was never supposed that a constitutional provision was intended to interfere with this established principle and although there is no common law of the United States in a sense of a national customary law as distinguished from the common law of England, adopted in the several states. In interpreting the Federal Constitution, recourse may still be had to the aid of the Common Law of England. It has been said that without reference to the common law, the language of the Federal Constitution could not be understood</w:t>
      </w:r>
      <w:r w:rsidRPr="00182361">
        <w:rPr>
          <w:rFonts w:cs="Times New Roman"/>
          <w:szCs w:val="24"/>
        </w:rPr>
        <w:t>.</w:t>
      </w:r>
      <w:r w:rsidR="00CC77EE">
        <w:rPr>
          <w:rFonts w:cs="Times New Roman"/>
          <w:szCs w:val="24"/>
        </w:rPr>
        <w:t>”</w:t>
      </w:r>
    </w:p>
    <w:p w14:paraId="1B43ABE0" w14:textId="54186B5B" w:rsidR="00182361" w:rsidRPr="00182361" w:rsidRDefault="00182361" w:rsidP="00182361">
      <w:pPr>
        <w:spacing w:line="360" w:lineRule="auto"/>
        <w:rPr>
          <w:rFonts w:cs="Times New Roman"/>
          <w:szCs w:val="24"/>
        </w:rPr>
      </w:pPr>
      <w:r w:rsidRPr="00182361">
        <w:rPr>
          <w:rFonts w:cs="Times New Roman"/>
          <w:szCs w:val="24"/>
        </w:rPr>
        <w:t>Therefore, since Constitutions must be construed to reference the common law, summary proceedings</w:t>
      </w:r>
      <w:r w:rsidRPr="00182361">
        <w:rPr>
          <w:rStyle w:val="FootnoteReference"/>
          <w:rFonts w:cs="Times New Roman"/>
          <w:szCs w:val="24"/>
        </w:rPr>
        <w:footnoteReference w:id="23"/>
      </w:r>
      <w:r w:rsidRPr="00182361">
        <w:rPr>
          <w:rFonts w:cs="Times New Roman"/>
          <w:szCs w:val="24"/>
        </w:rPr>
        <w:t xml:space="preserve"> would deny petitioner</w:t>
      </w:r>
      <w:r w:rsidR="00CC77EE">
        <w:rPr>
          <w:rFonts w:cs="Times New Roman"/>
          <w:szCs w:val="24"/>
        </w:rPr>
        <w:t>’</w:t>
      </w:r>
      <w:r w:rsidRPr="00182361">
        <w:rPr>
          <w:rFonts w:cs="Times New Roman"/>
          <w:szCs w:val="24"/>
        </w:rPr>
        <w:t>s 7</w:t>
      </w:r>
      <w:r w:rsidRPr="00182361">
        <w:rPr>
          <w:rFonts w:cs="Times New Roman"/>
          <w:szCs w:val="24"/>
          <w:vertAlign w:val="superscript"/>
        </w:rPr>
        <w:t>th</w:t>
      </w:r>
      <w:r w:rsidRPr="00182361">
        <w:rPr>
          <w:rFonts w:cs="Times New Roman"/>
          <w:szCs w:val="24"/>
        </w:rPr>
        <w:t xml:space="preserve"> Amendment</w:t>
      </w:r>
      <w:r w:rsidR="00CC77EE">
        <w:rPr>
          <w:rFonts w:cs="Times New Roman"/>
          <w:szCs w:val="24"/>
        </w:rPr>
        <w:t>’</w:t>
      </w:r>
      <w:r w:rsidRPr="00182361">
        <w:rPr>
          <w:rFonts w:cs="Times New Roman"/>
          <w:szCs w:val="24"/>
        </w:rPr>
        <w:t>s right of trial by jury and, thereby, would be repugnant rendering any such decision null and void.</w:t>
      </w:r>
    </w:p>
    <w:p w14:paraId="0E257D2E" w14:textId="77777777" w:rsidR="00182361" w:rsidRPr="00182361" w:rsidRDefault="00182361" w:rsidP="005D1F82">
      <w:pPr>
        <w:tabs>
          <w:tab w:val="left" w:pos="2370"/>
        </w:tabs>
        <w:spacing w:line="240" w:lineRule="auto"/>
        <w:ind w:left="720" w:right="720"/>
        <w:rPr>
          <w:rFonts w:cstheme="minorHAnsi"/>
          <w:szCs w:val="24"/>
        </w:rPr>
      </w:pPr>
      <w:r w:rsidRPr="00182361">
        <w:rPr>
          <w:rFonts w:cstheme="minorHAnsi"/>
          <w:szCs w:val="24"/>
          <w:u w:val="single"/>
        </w:rPr>
        <w:t>Amendment VII</w:t>
      </w:r>
      <w:r w:rsidRPr="00182361">
        <w:rPr>
          <w:rFonts w:cstheme="minorHAnsi"/>
          <w:szCs w:val="24"/>
        </w:rPr>
        <w:t xml:space="preserve"> </w:t>
      </w:r>
      <w:r w:rsidRPr="00182361">
        <w:rPr>
          <w:rFonts w:cstheme="minorHAnsi"/>
          <w:i/>
          <w:szCs w:val="24"/>
        </w:rPr>
        <w:t xml:space="preserve">In suits at common law, where the value in controversy shall exceed twenty dollars, the right of trial by jury shall be preserved, </w:t>
      </w:r>
      <w:r w:rsidRPr="00182361">
        <w:rPr>
          <w:rFonts w:cstheme="minorHAnsi"/>
          <w:i/>
          <w:szCs w:val="24"/>
        </w:rPr>
        <w:lastRenderedPageBreak/>
        <w:t xml:space="preserve">and no fact tried by a jury, shall be otherwise reexamined in any Court of the United States, </w:t>
      </w:r>
      <w:proofErr w:type="gramStart"/>
      <w:r w:rsidRPr="00182361">
        <w:rPr>
          <w:rFonts w:cstheme="minorHAnsi"/>
          <w:i/>
          <w:szCs w:val="24"/>
        </w:rPr>
        <w:t>than</w:t>
      </w:r>
      <w:proofErr w:type="gramEnd"/>
      <w:r w:rsidRPr="00182361">
        <w:rPr>
          <w:rFonts w:cstheme="minorHAnsi"/>
          <w:i/>
          <w:szCs w:val="24"/>
        </w:rPr>
        <w:t xml:space="preserve"> according to the rules of the common law</w:t>
      </w:r>
      <w:r w:rsidRPr="00182361">
        <w:rPr>
          <w:rFonts w:cstheme="minorHAnsi"/>
          <w:szCs w:val="24"/>
        </w:rPr>
        <w:t>.</w:t>
      </w:r>
    </w:p>
    <w:p w14:paraId="4F400828" w14:textId="3FD83CE8" w:rsidR="00182361" w:rsidRPr="00182361" w:rsidRDefault="00182361" w:rsidP="005D1F82">
      <w:pPr>
        <w:spacing w:line="360" w:lineRule="auto"/>
        <w:ind w:firstLine="720"/>
        <w:rPr>
          <w:rFonts w:cs="Times New Roman"/>
          <w:szCs w:val="24"/>
        </w:rPr>
      </w:pPr>
      <w:r w:rsidRPr="00182361">
        <w:rPr>
          <w:rFonts w:cs="Times New Roman"/>
          <w:szCs w:val="24"/>
        </w:rPr>
        <w:t xml:space="preserve">The N.Y.S. Department of Motor Vehicles rules and regulations apply only when a </w:t>
      </w:r>
      <w:r w:rsidRPr="005D1F82">
        <w:rPr>
          <w:rFonts w:cs="Times New Roman"/>
          <w:szCs w:val="24"/>
        </w:rPr>
        <w:t>person is operating a motor vehicle for commercial purposes. When the aforesaid</w:t>
      </w:r>
      <w:r w:rsidRPr="00182361">
        <w:rPr>
          <w:rFonts w:cs="Times New Roman"/>
          <w:szCs w:val="24"/>
        </w:rPr>
        <w:t xml:space="preserve"> </w:t>
      </w:r>
      <w:r w:rsidRPr="005D1F82">
        <w:rPr>
          <w:rFonts w:cs="Times New Roman"/>
          <w:szCs w:val="24"/>
        </w:rPr>
        <w:t>person</w:t>
      </w:r>
      <w:r w:rsidRPr="00182361">
        <w:rPr>
          <w:rFonts w:cs="Times New Roman"/>
          <w:szCs w:val="24"/>
        </w:rPr>
        <w:t xml:space="preserve"> registers with the DMV and is issued a driver</w:t>
      </w:r>
      <w:r w:rsidR="00CC77EE">
        <w:rPr>
          <w:rFonts w:cs="Times New Roman"/>
          <w:szCs w:val="24"/>
        </w:rPr>
        <w:t>’</w:t>
      </w:r>
      <w:r w:rsidRPr="00182361">
        <w:rPr>
          <w:rFonts w:cs="Times New Roman"/>
          <w:szCs w:val="24"/>
        </w:rPr>
        <w:t xml:space="preserve">s license, (s)he at that time agrees to the commercial rules and regulations when they engage in the transporting of goods or people for commercial purposes; but, when the aforesaid </w:t>
      </w:r>
      <w:r w:rsidRPr="005D1F82">
        <w:rPr>
          <w:rFonts w:cs="Times New Roman"/>
          <w:szCs w:val="24"/>
        </w:rPr>
        <w:t>person</w:t>
      </w:r>
      <w:r w:rsidRPr="00182361">
        <w:rPr>
          <w:rFonts w:cs="Times New Roman"/>
          <w:szCs w:val="24"/>
        </w:rPr>
        <w:t xml:space="preserve"> is traveling without a fare or goods, in other words without commercial purposes, they are not in need of a driver</w:t>
      </w:r>
      <w:r w:rsidR="00CC77EE">
        <w:rPr>
          <w:rFonts w:cs="Times New Roman"/>
          <w:szCs w:val="24"/>
        </w:rPr>
        <w:t>’</w:t>
      </w:r>
      <w:r w:rsidRPr="00182361">
        <w:rPr>
          <w:rFonts w:cs="Times New Roman"/>
          <w:szCs w:val="24"/>
        </w:rPr>
        <w:t>s license nor are they liable to answer to a nisi prius court. The following four Supreme Court cases solidify the aforesaid; it is the essence of American Liberty, the unalienable right to control our own behavior:</w:t>
      </w:r>
    </w:p>
    <w:p w14:paraId="6685B414" w14:textId="12E78E79" w:rsidR="00182361" w:rsidRPr="00182361" w:rsidRDefault="00CC77EE" w:rsidP="005D1F82">
      <w:pPr>
        <w:spacing w:line="240" w:lineRule="auto"/>
        <w:ind w:left="720" w:right="720"/>
        <w:rPr>
          <w:rFonts w:cs="Times New Roman"/>
          <w:szCs w:val="24"/>
        </w:rPr>
      </w:pPr>
      <w:r>
        <w:rPr>
          <w:rFonts w:cs="Times New Roman"/>
          <w:szCs w:val="24"/>
        </w:rPr>
        <w:t>“</w:t>
      </w:r>
      <w:r w:rsidR="00182361" w:rsidRPr="00182361">
        <w:rPr>
          <w:rFonts w:cs="Times New Roman"/>
          <w:i/>
          <w:szCs w:val="24"/>
        </w:rPr>
        <w:t>The use of the highway for the purpose of travel and transportation is not a mere privilege, but a common fundamental right of which the public and individuals cannot rightfully be deprived</w:t>
      </w:r>
      <w:r w:rsidR="00182361" w:rsidRPr="00182361">
        <w:rPr>
          <w:rFonts w:cs="Times New Roman"/>
          <w:szCs w:val="24"/>
        </w:rPr>
        <w:t>.</w:t>
      </w:r>
      <w:r>
        <w:rPr>
          <w:rFonts w:cs="Times New Roman"/>
          <w:szCs w:val="24"/>
        </w:rPr>
        <w:t>”</w:t>
      </w:r>
      <w:r w:rsidR="00182361" w:rsidRPr="00182361">
        <w:rPr>
          <w:rFonts w:cs="Times New Roman"/>
          <w:szCs w:val="24"/>
        </w:rPr>
        <w:t xml:space="preserve"> </w:t>
      </w:r>
      <w:r w:rsidR="005D1F82">
        <w:rPr>
          <w:rFonts w:cs="Times New Roman"/>
          <w:szCs w:val="24"/>
        </w:rPr>
        <w:t xml:space="preserve">– </w:t>
      </w:r>
      <w:r w:rsidR="00182361" w:rsidRPr="00182361">
        <w:rPr>
          <w:rFonts w:cs="Times New Roman"/>
          <w:szCs w:val="24"/>
          <w:u w:val="single"/>
        </w:rPr>
        <w:t>Chicago Motor Coach v. Chicago, 169 NE 221</w:t>
      </w:r>
      <w:r w:rsidR="00182361" w:rsidRPr="00182361">
        <w:rPr>
          <w:rFonts w:cs="Times New Roman"/>
          <w:szCs w:val="24"/>
        </w:rPr>
        <w:t>.</w:t>
      </w:r>
    </w:p>
    <w:p w14:paraId="325A6365" w14:textId="32D424EE" w:rsidR="00182361" w:rsidRPr="00182361" w:rsidRDefault="00CC77EE" w:rsidP="005D1F82">
      <w:pPr>
        <w:spacing w:line="240" w:lineRule="auto"/>
        <w:ind w:left="720" w:right="720"/>
        <w:rPr>
          <w:rFonts w:cs="Times New Roman"/>
          <w:szCs w:val="24"/>
        </w:rPr>
      </w:pPr>
      <w:r>
        <w:rPr>
          <w:rFonts w:cs="Times New Roman"/>
          <w:szCs w:val="24"/>
        </w:rPr>
        <w:t>“</w:t>
      </w:r>
      <w:r w:rsidR="00182361" w:rsidRPr="00182361">
        <w:rPr>
          <w:rFonts w:cs="Times New Roman"/>
          <w:i/>
          <w:szCs w:val="24"/>
        </w:rPr>
        <w:t>The right of the citizen to travel upon the public highways and to transport his property thereon, either by carriage or by automobile, is not a mere privilege which a city may prohibit or permit at will, but a common law right which (s)he has under the right to life, liberty, and the pursuit of happiness</w:t>
      </w:r>
      <w:r w:rsidR="00182361" w:rsidRPr="00182361">
        <w:rPr>
          <w:rFonts w:cs="Times New Roman"/>
          <w:szCs w:val="24"/>
        </w:rPr>
        <w:t>.</w:t>
      </w:r>
      <w:r>
        <w:rPr>
          <w:rFonts w:cs="Times New Roman"/>
          <w:szCs w:val="24"/>
        </w:rPr>
        <w:t>”</w:t>
      </w:r>
      <w:r w:rsidR="005D1F82">
        <w:rPr>
          <w:rFonts w:cs="Times New Roman"/>
          <w:szCs w:val="24"/>
        </w:rPr>
        <w:t xml:space="preserve"> – </w:t>
      </w:r>
      <w:r w:rsidR="00182361" w:rsidRPr="00182361">
        <w:rPr>
          <w:rFonts w:cs="Times New Roman"/>
          <w:szCs w:val="24"/>
        </w:rPr>
        <w:t xml:space="preserve"> </w:t>
      </w:r>
      <w:r w:rsidR="00182361" w:rsidRPr="00182361">
        <w:rPr>
          <w:rFonts w:cs="Times New Roman"/>
          <w:szCs w:val="24"/>
          <w:u w:val="single"/>
        </w:rPr>
        <w:t>Thompson v. Smith, 154 SE 579.</w:t>
      </w:r>
      <w:r w:rsidR="00182361" w:rsidRPr="00182361">
        <w:rPr>
          <w:rFonts w:cs="Times New Roman"/>
          <w:szCs w:val="24"/>
        </w:rPr>
        <w:t xml:space="preserve"> </w:t>
      </w:r>
    </w:p>
    <w:p w14:paraId="50A3E465" w14:textId="267F10B2" w:rsidR="00182361" w:rsidRPr="00182361" w:rsidRDefault="00CC77EE" w:rsidP="005D1F82">
      <w:pPr>
        <w:spacing w:line="240" w:lineRule="auto"/>
        <w:ind w:left="720" w:right="720"/>
        <w:rPr>
          <w:rFonts w:cs="Times New Roman"/>
          <w:szCs w:val="24"/>
        </w:rPr>
      </w:pPr>
      <w:r>
        <w:rPr>
          <w:rFonts w:cs="Times New Roman"/>
          <w:szCs w:val="24"/>
        </w:rPr>
        <w:t>“</w:t>
      </w:r>
      <w:r w:rsidR="00182361" w:rsidRPr="00182361">
        <w:rPr>
          <w:rFonts w:cs="Times New Roman"/>
          <w:i/>
          <w:szCs w:val="24"/>
        </w:rPr>
        <w:t>The right to travel is a part of the liberty of which the citizen cannot be deprived without due process of law under the Fifth Amendment</w:t>
      </w:r>
      <w:r w:rsidR="00182361" w:rsidRPr="00182361">
        <w:rPr>
          <w:rFonts w:cs="Times New Roman"/>
          <w:szCs w:val="24"/>
        </w:rPr>
        <w:t>.</w:t>
      </w:r>
      <w:r>
        <w:rPr>
          <w:rFonts w:cs="Times New Roman"/>
          <w:szCs w:val="24"/>
        </w:rPr>
        <w:t>”</w:t>
      </w:r>
      <w:r w:rsidR="005D1F82">
        <w:rPr>
          <w:rFonts w:cs="Times New Roman"/>
          <w:szCs w:val="24"/>
        </w:rPr>
        <w:t xml:space="preserve"> – </w:t>
      </w:r>
      <w:r w:rsidR="00182361" w:rsidRPr="00182361">
        <w:rPr>
          <w:rFonts w:cs="Times New Roman"/>
          <w:szCs w:val="24"/>
        </w:rPr>
        <w:t xml:space="preserve"> </w:t>
      </w:r>
      <w:r w:rsidR="00182361" w:rsidRPr="00182361">
        <w:rPr>
          <w:rFonts w:cs="Times New Roman"/>
          <w:szCs w:val="24"/>
          <w:u w:val="single"/>
        </w:rPr>
        <w:t>Kent v. Dulles, 357 US 116, 125.</w:t>
      </w:r>
      <w:r w:rsidR="005D1F82">
        <w:rPr>
          <w:rFonts w:cs="Times New Roman"/>
          <w:szCs w:val="24"/>
          <w:u w:val="single"/>
        </w:rPr>
        <w:t xml:space="preserve"> </w:t>
      </w:r>
    </w:p>
    <w:p w14:paraId="3A7DD434" w14:textId="6FB88579" w:rsidR="00182361" w:rsidRPr="00182361" w:rsidRDefault="00CC77EE" w:rsidP="005D1F82">
      <w:pPr>
        <w:spacing w:line="240" w:lineRule="auto"/>
        <w:ind w:left="720" w:right="720"/>
        <w:rPr>
          <w:rFonts w:cs="Times New Roman"/>
          <w:szCs w:val="24"/>
        </w:rPr>
      </w:pPr>
      <w:r>
        <w:rPr>
          <w:rFonts w:cs="Times New Roman"/>
          <w:szCs w:val="24"/>
        </w:rPr>
        <w:t>“</w:t>
      </w:r>
      <w:r w:rsidR="00182361" w:rsidRPr="00182361">
        <w:rPr>
          <w:rFonts w:cs="Times New Roman"/>
          <w:i/>
          <w:szCs w:val="24"/>
        </w:rPr>
        <w:t>The right to travel is a well-established common right that does not owe its existence to the federal government. It is recognized by the courts as a natural right</w:t>
      </w:r>
      <w:r w:rsidR="00182361" w:rsidRPr="00182361">
        <w:rPr>
          <w:rFonts w:cs="Times New Roman"/>
          <w:szCs w:val="24"/>
        </w:rPr>
        <w:t>.</w:t>
      </w:r>
      <w:r>
        <w:rPr>
          <w:rFonts w:cs="Times New Roman"/>
          <w:szCs w:val="24"/>
        </w:rPr>
        <w:t>”</w:t>
      </w:r>
      <w:r w:rsidR="005D1F82">
        <w:rPr>
          <w:rFonts w:cs="Times New Roman"/>
          <w:szCs w:val="24"/>
        </w:rPr>
        <w:t xml:space="preserve"> – </w:t>
      </w:r>
      <w:proofErr w:type="spellStart"/>
      <w:r w:rsidR="00182361" w:rsidRPr="00182361">
        <w:rPr>
          <w:rFonts w:cs="Times New Roman"/>
          <w:szCs w:val="24"/>
          <w:u w:val="single"/>
        </w:rPr>
        <w:t>Schactman</w:t>
      </w:r>
      <w:proofErr w:type="spellEnd"/>
      <w:r w:rsidR="00182361" w:rsidRPr="00182361">
        <w:rPr>
          <w:rFonts w:cs="Times New Roman"/>
          <w:szCs w:val="24"/>
          <w:u w:val="single"/>
        </w:rPr>
        <w:t xml:space="preserve"> v. Dulles 96 App DC 287, 225 F2d 938, at 941.</w:t>
      </w:r>
    </w:p>
    <w:p w14:paraId="08429CBF" w14:textId="77777777" w:rsidR="00182361" w:rsidRPr="00182361" w:rsidRDefault="00182361" w:rsidP="005D1F82">
      <w:pPr>
        <w:spacing w:line="360" w:lineRule="auto"/>
        <w:ind w:firstLine="720"/>
        <w:rPr>
          <w:rFonts w:cs="Times New Roman"/>
          <w:szCs w:val="24"/>
        </w:rPr>
      </w:pPr>
      <w:r w:rsidRPr="00182361">
        <w:rPr>
          <w:rFonts w:cs="Times New Roman"/>
          <w:szCs w:val="24"/>
        </w:rPr>
        <w:t>It could not be stated more directly or conclusively that citizens of the states have a common law right to travel unimpeded, without approval (license) or restriction (codes), and that this right is protected under the United States Constitution.</w:t>
      </w:r>
    </w:p>
    <w:p w14:paraId="7E83F44B" w14:textId="77777777" w:rsidR="00182361" w:rsidRPr="00E13FA0" w:rsidRDefault="00182361" w:rsidP="00182361">
      <w:pPr>
        <w:spacing w:line="360" w:lineRule="auto"/>
        <w:jc w:val="center"/>
        <w:rPr>
          <w:rFonts w:cs="Times New Roman"/>
          <w:b/>
          <w:smallCaps/>
          <w:sz w:val="28"/>
          <w:szCs w:val="28"/>
        </w:rPr>
      </w:pPr>
      <w:r w:rsidRPr="00E13FA0">
        <w:rPr>
          <w:rFonts w:cs="Times New Roman"/>
          <w:b/>
          <w:smallCaps/>
          <w:sz w:val="28"/>
          <w:szCs w:val="28"/>
        </w:rPr>
        <w:t>This Court Lacks Jurisdiction</w:t>
      </w:r>
    </w:p>
    <w:p w14:paraId="273FE832" w14:textId="57DC5EB4" w:rsidR="00182361" w:rsidRPr="00182361" w:rsidRDefault="00182361" w:rsidP="005D1F82">
      <w:pPr>
        <w:spacing w:line="360" w:lineRule="auto"/>
        <w:ind w:firstLine="720"/>
        <w:rPr>
          <w:rFonts w:cs="Times New Roman"/>
          <w:szCs w:val="24"/>
        </w:rPr>
      </w:pPr>
      <w:r w:rsidRPr="00182361">
        <w:rPr>
          <w:rFonts w:cs="Times New Roman"/>
          <w:smallCaps/>
          <w:szCs w:val="24"/>
          <w:u w:val="single"/>
        </w:rPr>
        <w:t>Administrative Court</w:t>
      </w:r>
      <w:r w:rsidRPr="00182361">
        <w:rPr>
          <w:rFonts w:cs="Times New Roman"/>
          <w:szCs w:val="24"/>
        </w:rPr>
        <w:t xml:space="preserve">: The uniform traffic ticket, </w:t>
      </w:r>
      <w:r w:rsidRPr="00182361">
        <w:rPr>
          <w:rFonts w:cs="Times New Roman"/>
          <w:i/>
          <w:szCs w:val="24"/>
          <w:u w:val="single"/>
        </w:rPr>
        <w:t>see attached</w:t>
      </w:r>
      <w:r w:rsidRPr="00182361">
        <w:rPr>
          <w:rFonts w:cs="Times New Roman"/>
          <w:szCs w:val="24"/>
        </w:rPr>
        <w:t xml:space="preserve">, refers to N.Y.S. Department of Motor Vehicles suggesting that this court is an administrative court which </w:t>
      </w:r>
      <w:r w:rsidRPr="00182361">
        <w:rPr>
          <w:rFonts w:cs="Times New Roman"/>
          <w:szCs w:val="24"/>
        </w:rPr>
        <w:lastRenderedPageBreak/>
        <w:t>would thereby be a nisi prius</w:t>
      </w:r>
      <w:r w:rsidRPr="00182361">
        <w:rPr>
          <w:rStyle w:val="FootnoteReference"/>
          <w:rFonts w:cs="Times New Roman"/>
          <w:szCs w:val="24"/>
        </w:rPr>
        <w:footnoteReference w:id="24"/>
      </w:r>
      <w:r w:rsidRPr="00182361">
        <w:rPr>
          <w:rFonts w:cs="Times New Roman"/>
          <w:szCs w:val="24"/>
        </w:rPr>
        <w:t xml:space="preserve"> court. </w:t>
      </w:r>
      <w:r w:rsidR="005D1F82">
        <w:rPr>
          <w:rFonts w:cs="Times New Roman"/>
          <w:szCs w:val="24"/>
        </w:rPr>
        <w:t>Since</w:t>
      </w:r>
      <w:r w:rsidRPr="00182361">
        <w:rPr>
          <w:rFonts w:cs="Times New Roman"/>
          <w:szCs w:val="24"/>
        </w:rPr>
        <w:t xml:space="preserve"> the </w:t>
      </w:r>
      <w:r w:rsidR="005D1F82">
        <w:rPr>
          <w:rFonts w:cs="Times New Roman"/>
          <w:szCs w:val="24"/>
        </w:rPr>
        <w:t>“</w:t>
      </w:r>
      <w:r w:rsidR="00806921" w:rsidRPr="00806921">
        <w:rPr>
          <w:rFonts w:cs="Times New Roman"/>
          <w:color w:val="FF0000"/>
          <w:szCs w:val="24"/>
        </w:rPr>
        <w:t>Your</w:t>
      </w:r>
      <w:r w:rsidR="005D1F82" w:rsidRPr="00806921">
        <w:rPr>
          <w:rFonts w:cs="Times New Roman"/>
          <w:color w:val="FF0000"/>
          <w:szCs w:val="24"/>
        </w:rPr>
        <w:t xml:space="preserve"> Town</w:t>
      </w:r>
      <w:r w:rsidR="00806921" w:rsidRPr="00806921">
        <w:rPr>
          <w:rFonts w:cs="Times New Roman"/>
          <w:color w:val="FF0000"/>
          <w:szCs w:val="24"/>
        </w:rPr>
        <w:t xml:space="preserve">, Village, or Traffic </w:t>
      </w:r>
      <w:r w:rsidR="005D1F82">
        <w:rPr>
          <w:rFonts w:cs="Times New Roman"/>
          <w:szCs w:val="24"/>
        </w:rPr>
        <w:t>C</w:t>
      </w:r>
      <w:r w:rsidRPr="00182361">
        <w:rPr>
          <w:rFonts w:cs="Times New Roman"/>
          <w:szCs w:val="24"/>
        </w:rPr>
        <w:t>ourt</w:t>
      </w:r>
      <w:r w:rsidR="005D1F82">
        <w:rPr>
          <w:rFonts w:cs="Times New Roman"/>
          <w:szCs w:val="24"/>
        </w:rPr>
        <w:t>”</w:t>
      </w:r>
      <w:r w:rsidRPr="00182361">
        <w:rPr>
          <w:rFonts w:cs="Times New Roman"/>
          <w:szCs w:val="24"/>
        </w:rPr>
        <w:t xml:space="preserve"> is an administrative court, petitioner objects to the process. If the petitioner</w:t>
      </w:r>
      <w:r w:rsidR="00CC77EE">
        <w:rPr>
          <w:rFonts w:cs="Times New Roman"/>
          <w:szCs w:val="24"/>
        </w:rPr>
        <w:t>’</w:t>
      </w:r>
      <w:r w:rsidRPr="00182361">
        <w:rPr>
          <w:rFonts w:cs="Times New Roman"/>
          <w:szCs w:val="24"/>
        </w:rPr>
        <w:t>s commercial driver</w:t>
      </w:r>
      <w:r w:rsidR="00CC77EE">
        <w:rPr>
          <w:rFonts w:cs="Times New Roman"/>
          <w:szCs w:val="24"/>
        </w:rPr>
        <w:t>’</w:t>
      </w:r>
      <w:r w:rsidRPr="00182361">
        <w:rPr>
          <w:rFonts w:cs="Times New Roman"/>
          <w:szCs w:val="24"/>
        </w:rPr>
        <w:t xml:space="preserve">s license therein called </w:t>
      </w:r>
      <w:r w:rsidR="00CC77EE">
        <w:rPr>
          <w:rFonts w:cs="Times New Roman"/>
          <w:szCs w:val="24"/>
        </w:rPr>
        <w:t>“</w:t>
      </w:r>
      <w:r w:rsidRPr="00182361">
        <w:rPr>
          <w:rFonts w:cs="Times New Roman"/>
          <w:szCs w:val="24"/>
          <w:u w:val="single"/>
        </w:rPr>
        <w:t>Client ID Number</w:t>
      </w:r>
      <w:r w:rsidR="00CC77EE">
        <w:rPr>
          <w:rFonts w:cs="Times New Roman"/>
          <w:szCs w:val="24"/>
        </w:rPr>
        <w:t>”</w:t>
      </w:r>
      <w:r w:rsidRPr="00182361">
        <w:rPr>
          <w:rStyle w:val="FootnoteReference"/>
          <w:rFonts w:cs="Times New Roman"/>
          <w:szCs w:val="24"/>
        </w:rPr>
        <w:footnoteReference w:id="25"/>
      </w:r>
      <w:r w:rsidRPr="00182361">
        <w:rPr>
          <w:rFonts w:cs="Times New Roman"/>
          <w:szCs w:val="24"/>
        </w:rPr>
        <w:t xml:space="preserve"> was used to establish an agreement to the administrative process, the code enforcing officer and this court is mistaken because the </w:t>
      </w:r>
      <w:r w:rsidR="00360AE5">
        <w:rPr>
          <w:rFonts w:cs="Times New Roman"/>
          <w:szCs w:val="24"/>
        </w:rPr>
        <w:t xml:space="preserve">petitioner </w:t>
      </w:r>
      <w:r w:rsidRPr="00182361">
        <w:rPr>
          <w:rFonts w:cs="Times New Roman"/>
          <w:szCs w:val="24"/>
        </w:rPr>
        <w:t xml:space="preserve"> was not operating a commercial vehicle for commercial</w:t>
      </w:r>
      <w:r w:rsidRPr="00182361">
        <w:rPr>
          <w:rStyle w:val="FootnoteReference"/>
          <w:rFonts w:cs="Times New Roman"/>
          <w:szCs w:val="24"/>
        </w:rPr>
        <w:footnoteReference w:id="26"/>
      </w:r>
      <w:r w:rsidRPr="00182361">
        <w:rPr>
          <w:rFonts w:cs="Times New Roman"/>
          <w:szCs w:val="24"/>
        </w:rPr>
        <w:t xml:space="preserve"> services at the time petitioner was prudently</w:t>
      </w:r>
      <w:r w:rsidRPr="00182361">
        <w:rPr>
          <w:rStyle w:val="FootnoteReference"/>
          <w:rFonts w:cs="Times New Roman"/>
          <w:szCs w:val="24"/>
        </w:rPr>
        <w:footnoteReference w:id="27"/>
      </w:r>
      <w:r w:rsidRPr="00182361">
        <w:rPr>
          <w:rFonts w:cs="Times New Roman"/>
          <w:szCs w:val="24"/>
        </w:rPr>
        <w:t xml:space="preserve"> traveling along a public road and when the </w:t>
      </w:r>
      <w:r w:rsidR="00360AE5">
        <w:rPr>
          <w:rFonts w:cs="Times New Roman"/>
          <w:szCs w:val="24"/>
        </w:rPr>
        <w:t xml:space="preserve">petitioner </w:t>
      </w:r>
      <w:r w:rsidRPr="00182361">
        <w:rPr>
          <w:rFonts w:cs="Times New Roman"/>
          <w:szCs w:val="24"/>
        </w:rPr>
        <w:t xml:space="preserve"> was stopped and asked to see a </w:t>
      </w:r>
      <w:r w:rsidR="005D1F82">
        <w:rPr>
          <w:rFonts w:cs="Times New Roman"/>
          <w:szCs w:val="24"/>
        </w:rPr>
        <w:t xml:space="preserve">driver’s </w:t>
      </w:r>
      <w:r w:rsidRPr="00182361">
        <w:rPr>
          <w:rFonts w:cs="Times New Roman"/>
          <w:szCs w:val="24"/>
        </w:rPr>
        <w:t xml:space="preserve">license, </w:t>
      </w:r>
      <w:r w:rsidR="00360AE5">
        <w:rPr>
          <w:rFonts w:cs="Times New Roman"/>
          <w:szCs w:val="24"/>
        </w:rPr>
        <w:t xml:space="preserve">petitioner </w:t>
      </w:r>
      <w:r w:rsidRPr="00182361">
        <w:rPr>
          <w:rFonts w:cs="Times New Roman"/>
          <w:szCs w:val="24"/>
        </w:rPr>
        <w:t xml:space="preserve"> ascertained that it would be prudent to comply without protest. </w:t>
      </w:r>
      <w:r w:rsidR="005D1F82">
        <w:rPr>
          <w:rFonts w:cs="Times New Roman"/>
          <w:szCs w:val="24"/>
        </w:rPr>
        <w:t>Since</w:t>
      </w:r>
      <w:r w:rsidRPr="00182361">
        <w:rPr>
          <w:rFonts w:cs="Times New Roman"/>
          <w:szCs w:val="24"/>
        </w:rPr>
        <w:t xml:space="preserve"> this court is acting in its administrative court capacity, it lacks personam jurisdiction for the aforesaid reason</w:t>
      </w:r>
      <w:r w:rsidR="005D1F82">
        <w:rPr>
          <w:rFonts w:cs="Times New Roman"/>
          <w:szCs w:val="24"/>
        </w:rPr>
        <w:t>s</w:t>
      </w:r>
      <w:r w:rsidRPr="00182361">
        <w:rPr>
          <w:rFonts w:cs="Times New Roman"/>
          <w:szCs w:val="24"/>
        </w:rPr>
        <w:t>.</w:t>
      </w:r>
    </w:p>
    <w:p w14:paraId="59BB7EE2" w14:textId="7439EADE" w:rsidR="00182361" w:rsidRPr="00182361" w:rsidRDefault="00182361" w:rsidP="005D1F82">
      <w:pPr>
        <w:spacing w:line="360" w:lineRule="auto"/>
        <w:ind w:firstLine="720"/>
        <w:rPr>
          <w:rFonts w:cs="Times New Roman"/>
          <w:szCs w:val="24"/>
        </w:rPr>
      </w:pPr>
      <w:r w:rsidRPr="00182361">
        <w:rPr>
          <w:rFonts w:cs="Times New Roman"/>
          <w:smallCaps/>
          <w:szCs w:val="24"/>
          <w:u w:val="single"/>
        </w:rPr>
        <w:t>Criminal Court</w:t>
      </w:r>
      <w:r w:rsidRPr="00182361">
        <w:rPr>
          <w:rFonts w:cs="Times New Roman"/>
          <w:szCs w:val="24"/>
        </w:rPr>
        <w:t xml:space="preserve">: The supporting deposition, </w:t>
      </w:r>
      <w:r w:rsidRPr="00182361">
        <w:rPr>
          <w:rFonts w:cs="Times New Roman"/>
          <w:i/>
          <w:szCs w:val="24"/>
          <w:u w:val="single"/>
        </w:rPr>
        <w:t>see attached</w:t>
      </w:r>
      <w:r w:rsidRPr="00182361">
        <w:rPr>
          <w:rFonts w:cs="Times New Roman"/>
          <w:szCs w:val="24"/>
        </w:rPr>
        <w:t xml:space="preserve">, states the court to be a criminal court. </w:t>
      </w:r>
      <w:r w:rsidR="00CC77EE">
        <w:rPr>
          <w:rFonts w:cs="Times New Roman"/>
          <w:szCs w:val="24"/>
        </w:rPr>
        <w:t>“</w:t>
      </w:r>
      <w:r w:rsidRPr="00182361">
        <w:rPr>
          <w:rFonts w:cs="Times New Roman"/>
          <w:i/>
          <w:szCs w:val="24"/>
        </w:rPr>
        <w:t xml:space="preserve">Criminal courts proceed according to statutory law. Jurisdiction and procedure </w:t>
      </w:r>
      <w:proofErr w:type="gramStart"/>
      <w:r w:rsidRPr="00182361">
        <w:rPr>
          <w:rFonts w:cs="Times New Roman"/>
          <w:i/>
          <w:szCs w:val="24"/>
        </w:rPr>
        <w:t>is</w:t>
      </w:r>
      <w:proofErr w:type="gramEnd"/>
      <w:r w:rsidRPr="00182361">
        <w:rPr>
          <w:rFonts w:cs="Times New Roman"/>
          <w:i/>
          <w:szCs w:val="24"/>
        </w:rPr>
        <w:t xml:space="preserve"> defined by statute. Likewise, civil courts and admiralty courts proceed according to statutory law. Any court proceeding according to statutory law is not a court of record which only proceeds according to common law; it is an inferior court</w:t>
      </w:r>
      <w:r w:rsidRPr="00182361">
        <w:rPr>
          <w:rFonts w:cs="Times New Roman"/>
          <w:szCs w:val="24"/>
        </w:rPr>
        <w:t>.</w:t>
      </w:r>
      <w:r w:rsidR="00CC77EE">
        <w:rPr>
          <w:rFonts w:cs="Times New Roman"/>
          <w:szCs w:val="24"/>
        </w:rPr>
        <w:t>”</w:t>
      </w:r>
      <w:r w:rsidR="00FD452F">
        <w:rPr>
          <w:rStyle w:val="FootnoteReference"/>
          <w:rFonts w:cs="Times New Roman"/>
          <w:szCs w:val="24"/>
        </w:rPr>
        <w:footnoteReference w:id="28"/>
      </w:r>
      <w:r w:rsidRPr="00182361">
        <w:rPr>
          <w:rFonts w:cs="Times New Roman"/>
          <w:szCs w:val="24"/>
        </w:rPr>
        <w:t xml:space="preserve"> If this court is acting in its criminal court capacity it, lacks personam jurisdiction because it is a nisi prius court and the petitioner has not agreed.</w:t>
      </w:r>
    </w:p>
    <w:p w14:paraId="643F11BF" w14:textId="734AD08C" w:rsidR="00165CD3" w:rsidRDefault="00182361" w:rsidP="00165CD3">
      <w:pPr>
        <w:pStyle w:val="statutory-body-1em"/>
        <w:tabs>
          <w:tab w:val="left" w:pos="360"/>
        </w:tabs>
        <w:spacing w:before="0" w:beforeAutospacing="0" w:after="240" w:afterAutospacing="0" w:line="276" w:lineRule="auto"/>
        <w:jc w:val="both"/>
      </w:pPr>
      <w:r w:rsidRPr="00182361">
        <w:rPr>
          <w:rFonts w:ascii="Georgia" w:hAnsi="Georgia"/>
          <w:smallCaps/>
          <w:u w:val="single"/>
        </w:rPr>
        <w:t>Justice Court</w:t>
      </w:r>
      <w:r w:rsidRPr="00182361">
        <w:rPr>
          <w:rFonts w:ascii="Georgia" w:hAnsi="Georgia"/>
        </w:rPr>
        <w:t xml:space="preserve">: </w:t>
      </w:r>
      <w:r w:rsidR="00806921">
        <w:t>“</w:t>
      </w:r>
      <w:r w:rsidR="00806921" w:rsidRPr="00806921">
        <w:rPr>
          <w:color w:val="FF0000"/>
        </w:rPr>
        <w:t xml:space="preserve">Your Town, Village, or Traffic </w:t>
      </w:r>
      <w:r w:rsidR="00806921">
        <w:t>C</w:t>
      </w:r>
      <w:r w:rsidR="00806921" w:rsidRPr="00182361">
        <w:t>ourt</w:t>
      </w:r>
      <w:r w:rsidR="00806921">
        <w:t>”</w:t>
      </w:r>
      <w:r w:rsidR="00806921" w:rsidRPr="00182361">
        <w:t xml:space="preserve"> </w:t>
      </w:r>
      <w:r w:rsidRPr="00182361">
        <w:rPr>
          <w:rFonts w:ascii="Georgia" w:hAnsi="Georgia"/>
        </w:rPr>
        <w:t xml:space="preserve">claims authority under the </w:t>
      </w:r>
      <w:r w:rsidR="00806921" w:rsidRPr="00806921">
        <w:rPr>
          <w:rFonts w:ascii="Georgia" w:hAnsi="Georgia"/>
          <w:color w:val="FF0000"/>
        </w:rPr>
        <w:t>Your</w:t>
      </w:r>
      <w:r w:rsidRPr="00182361">
        <w:rPr>
          <w:rFonts w:ascii="Georgia" w:hAnsi="Georgia"/>
        </w:rPr>
        <w:t xml:space="preserve"> County Court</w:t>
      </w:r>
      <w:r w:rsidRPr="00182361">
        <w:rPr>
          <w:rStyle w:val="FootnoteReference"/>
          <w:rFonts w:ascii="Georgia" w:hAnsi="Georgia"/>
        </w:rPr>
        <w:footnoteReference w:id="29"/>
      </w:r>
      <w:r w:rsidRPr="00182361">
        <w:rPr>
          <w:rFonts w:ascii="Georgia" w:hAnsi="Georgia"/>
        </w:rPr>
        <w:t xml:space="preserve"> which constitutionally provides for equity</w:t>
      </w:r>
      <w:r w:rsidRPr="00182361">
        <w:rPr>
          <w:rStyle w:val="FootnoteReference"/>
          <w:rFonts w:ascii="Georgia" w:hAnsi="Georgia"/>
        </w:rPr>
        <w:footnoteReference w:id="30"/>
      </w:r>
      <w:r w:rsidRPr="00182361">
        <w:rPr>
          <w:rFonts w:ascii="Georgia" w:hAnsi="Georgia"/>
        </w:rPr>
        <w:t xml:space="preserve"> and</w:t>
      </w:r>
      <w:r w:rsidR="00837256">
        <w:t xml:space="preserve"> not</w:t>
      </w:r>
      <w:r w:rsidRPr="00182361">
        <w:rPr>
          <w:rFonts w:ascii="Georgia" w:hAnsi="Georgia"/>
        </w:rPr>
        <w:t xml:space="preserve"> law</w:t>
      </w:r>
      <w:r w:rsidRPr="00182361">
        <w:rPr>
          <w:rStyle w:val="FootnoteReference"/>
          <w:rFonts w:ascii="Georgia" w:hAnsi="Georgia"/>
        </w:rPr>
        <w:footnoteReference w:id="31"/>
      </w:r>
      <w:r w:rsidRPr="00182361">
        <w:rPr>
          <w:rFonts w:ascii="Georgia" w:hAnsi="Georgia"/>
        </w:rPr>
        <w:t xml:space="preserve">. </w:t>
      </w:r>
      <w:r w:rsidRPr="00182361">
        <w:rPr>
          <w:rFonts w:ascii="Georgia" w:hAnsi="Georgia" w:cstheme="minorHAnsi"/>
        </w:rPr>
        <w:t xml:space="preserve">Simply put, the tribunals in an equity court are elected or appointed </w:t>
      </w:r>
      <w:r w:rsidR="00CC77EE">
        <w:rPr>
          <w:rFonts w:cstheme="minorHAnsi"/>
        </w:rPr>
        <w:t>‘</w:t>
      </w:r>
      <w:r w:rsidRPr="00182361">
        <w:rPr>
          <w:rFonts w:ascii="Georgia" w:hAnsi="Georgia" w:cstheme="minorHAnsi"/>
        </w:rPr>
        <w:t>judges</w:t>
      </w:r>
      <w:r w:rsidR="00CC77EE">
        <w:rPr>
          <w:rFonts w:cstheme="minorHAnsi"/>
        </w:rPr>
        <w:t>’</w:t>
      </w:r>
      <w:r w:rsidRPr="00182361">
        <w:rPr>
          <w:rFonts w:ascii="Georgia" w:hAnsi="Georgia" w:cstheme="minorHAnsi"/>
        </w:rPr>
        <w:t xml:space="preserve"> while the tribunals in law courts are the </w:t>
      </w:r>
      <w:r w:rsidR="00CC77EE">
        <w:rPr>
          <w:rFonts w:cstheme="minorHAnsi"/>
        </w:rPr>
        <w:t>‘</w:t>
      </w:r>
      <w:r w:rsidRPr="00182361">
        <w:rPr>
          <w:rFonts w:ascii="Georgia" w:hAnsi="Georgia" w:cstheme="minorHAnsi"/>
        </w:rPr>
        <w:t>People</w:t>
      </w:r>
      <w:r w:rsidR="00CC77EE">
        <w:rPr>
          <w:rFonts w:cstheme="minorHAnsi"/>
        </w:rPr>
        <w:t>’</w:t>
      </w:r>
      <w:r w:rsidRPr="00182361">
        <w:rPr>
          <w:rFonts w:ascii="Georgia" w:hAnsi="Georgia" w:cstheme="minorHAnsi"/>
        </w:rPr>
        <w:t xml:space="preserve">, a/k/a juries. These Law courts are called </w:t>
      </w:r>
      <w:r w:rsidR="00CC77EE">
        <w:rPr>
          <w:rFonts w:cstheme="minorHAnsi"/>
        </w:rPr>
        <w:t>‘</w:t>
      </w:r>
      <w:r w:rsidR="005114D4">
        <w:rPr>
          <w:rFonts w:cstheme="minorHAnsi"/>
        </w:rPr>
        <w:t>C</w:t>
      </w:r>
      <w:r w:rsidRPr="00182361">
        <w:rPr>
          <w:rFonts w:ascii="Georgia" w:hAnsi="Georgia" w:cstheme="minorHAnsi"/>
        </w:rPr>
        <w:t xml:space="preserve">ourts of </w:t>
      </w:r>
      <w:r w:rsidR="005114D4">
        <w:rPr>
          <w:rFonts w:cstheme="minorHAnsi"/>
        </w:rPr>
        <w:t>R</w:t>
      </w:r>
      <w:r w:rsidRPr="00182361">
        <w:rPr>
          <w:rFonts w:ascii="Georgia" w:hAnsi="Georgia" w:cstheme="minorHAnsi"/>
        </w:rPr>
        <w:t>ecord</w:t>
      </w:r>
      <w:r w:rsidR="00CC77EE">
        <w:rPr>
          <w:rFonts w:cstheme="minorHAnsi"/>
        </w:rPr>
        <w:t>’</w:t>
      </w:r>
      <w:r w:rsidRPr="00182361">
        <w:rPr>
          <w:rFonts w:ascii="Georgia" w:hAnsi="Georgia" w:cstheme="minorHAnsi"/>
        </w:rPr>
        <w:t xml:space="preserve"> that </w:t>
      </w:r>
      <w:r w:rsidRPr="00182361">
        <w:rPr>
          <w:rFonts w:ascii="Georgia" w:hAnsi="Georgia" w:cstheme="minorHAnsi"/>
        </w:rPr>
        <w:lastRenderedPageBreak/>
        <w:t xml:space="preserve">proceed according to </w:t>
      </w:r>
      <w:r w:rsidR="00CC77EE">
        <w:rPr>
          <w:rFonts w:cstheme="minorHAnsi"/>
        </w:rPr>
        <w:t>‘</w:t>
      </w:r>
      <w:r w:rsidRPr="00182361">
        <w:rPr>
          <w:rFonts w:ascii="Georgia" w:hAnsi="Georgia" w:cstheme="minorHAnsi"/>
        </w:rPr>
        <w:t>natural law</w:t>
      </w:r>
      <w:r w:rsidR="00CC77EE">
        <w:rPr>
          <w:rFonts w:cstheme="minorHAnsi"/>
        </w:rPr>
        <w:t>’</w:t>
      </w:r>
      <w:r w:rsidRPr="00182361">
        <w:rPr>
          <w:rFonts w:ascii="Georgia" w:hAnsi="Georgia" w:cstheme="minorHAnsi"/>
        </w:rPr>
        <w:t xml:space="preserve"> liberated from statutes. </w:t>
      </w:r>
      <w:r w:rsidR="00837256">
        <w:t>Since</w:t>
      </w:r>
      <w:r w:rsidRPr="00182361">
        <w:rPr>
          <w:rFonts w:ascii="Georgia" w:hAnsi="Georgia"/>
        </w:rPr>
        <w:t xml:space="preserve"> this court is acting as an equity court, it lacks personam jurisdiction over the petitioner because it is operating as an equity court and unless the petitioner was engaged under some commercial activities that this court might have subject matter jurisdiction, petitioner was not. If this court is acting as a court of law, which both the US and NY constitutions and state legislators deny that it is, it lacks personam jurisdiction over the petitioner.</w:t>
      </w:r>
      <w:r w:rsidR="00165CD3">
        <w:t xml:space="preserve"> </w:t>
      </w:r>
    </w:p>
    <w:p w14:paraId="08FF9133" w14:textId="46E23422" w:rsidR="00182361" w:rsidRPr="00182361" w:rsidRDefault="00165CD3" w:rsidP="009A0AFC">
      <w:pPr>
        <w:pStyle w:val="statutory-body-1em"/>
        <w:tabs>
          <w:tab w:val="left" w:pos="360"/>
        </w:tabs>
        <w:spacing w:before="0" w:beforeAutospacing="0" w:after="240" w:afterAutospacing="0" w:line="276" w:lineRule="auto"/>
        <w:ind w:left="720" w:right="720"/>
        <w:jc w:val="both"/>
        <w:rPr>
          <w:rFonts w:ascii="Georgia" w:hAnsi="Georgia"/>
        </w:rPr>
      </w:pPr>
      <w:r w:rsidRPr="003540CB">
        <w:rPr>
          <w:rFonts w:ascii="Georgia" w:hAnsi="Georgia"/>
        </w:rPr>
        <w:t>“</w:t>
      </w:r>
      <w:r w:rsidRPr="003540CB">
        <w:rPr>
          <w:rFonts w:ascii="Georgia" w:hAnsi="Georgia"/>
          <w:i/>
          <w:iCs/>
        </w:rPr>
        <w:t>The Natural Liberty of man is to be free from any superior powers on earth and not to be under the will or legislative authority of man but only to have the Law of nature for his rule</w:t>
      </w:r>
      <w:r w:rsidRPr="003540CB">
        <w:rPr>
          <w:rFonts w:ascii="Georgia" w:hAnsi="Georgia"/>
        </w:rPr>
        <w:t xml:space="preserve">.” – Samuel Adams. </w:t>
      </w:r>
    </w:p>
    <w:p w14:paraId="4F7216FC" w14:textId="77777777" w:rsidR="00182361" w:rsidRPr="00182361" w:rsidRDefault="00182361" w:rsidP="00182361">
      <w:pPr>
        <w:spacing w:line="360" w:lineRule="auto"/>
        <w:rPr>
          <w:rFonts w:cs="Times New Roman"/>
          <w:szCs w:val="24"/>
        </w:rPr>
      </w:pPr>
      <w:r w:rsidRPr="00182361">
        <w:rPr>
          <w:rFonts w:cs="Times New Roman"/>
          <w:szCs w:val="24"/>
        </w:rPr>
        <w:t xml:space="preserve">Under federal Law, which is applicable to all states, the U.S. Supreme Court stated that: </w:t>
      </w:r>
    </w:p>
    <w:p w14:paraId="66E8A9FF" w14:textId="6547B357" w:rsidR="00182361" w:rsidRDefault="00CC77EE" w:rsidP="00FD452F">
      <w:pPr>
        <w:spacing w:line="240" w:lineRule="auto"/>
        <w:ind w:left="720" w:right="576"/>
        <w:rPr>
          <w:rFonts w:cs="Times New Roman"/>
          <w:szCs w:val="24"/>
        </w:rPr>
      </w:pPr>
      <w:r>
        <w:rPr>
          <w:rFonts w:cs="Times New Roman"/>
          <w:szCs w:val="24"/>
        </w:rPr>
        <w:t>“</w:t>
      </w:r>
      <w:r w:rsidR="00182361" w:rsidRPr="00182361">
        <w:rPr>
          <w:rFonts w:cs="Times New Roman"/>
          <w:i/>
          <w:szCs w:val="24"/>
        </w:rPr>
        <w:t xml:space="preserve">If a court is without authority, its judgments and orders are regarded as nullities. They are not voidable, but simply void, and form no bar to a recovery sought, even prior to a reversal in opposition to them. They constitute no justification and all persons concerned in executing such judgments or sentences are considered, </w:t>
      </w:r>
      <w:r w:rsidR="00182361" w:rsidRPr="00182361">
        <w:rPr>
          <w:rFonts w:cs="Times New Roman"/>
          <w:i/>
          <w:szCs w:val="24"/>
          <w:u w:val="single"/>
        </w:rPr>
        <w:t>in law, as trespassers</w:t>
      </w:r>
      <w:r w:rsidR="00182361" w:rsidRPr="00182361">
        <w:rPr>
          <w:rFonts w:cs="Times New Roman"/>
          <w:szCs w:val="24"/>
        </w:rPr>
        <w:t>.</w:t>
      </w:r>
      <w:r>
        <w:rPr>
          <w:rFonts w:cs="Times New Roman"/>
          <w:szCs w:val="24"/>
        </w:rPr>
        <w:t>”</w:t>
      </w:r>
      <w:r w:rsidR="00837256">
        <w:rPr>
          <w:rStyle w:val="FootnoteReference"/>
          <w:rFonts w:cs="Times New Roman"/>
          <w:szCs w:val="24"/>
        </w:rPr>
        <w:footnoteReference w:id="32"/>
      </w:r>
      <w:r w:rsidR="00182361" w:rsidRPr="00182361">
        <w:rPr>
          <w:rFonts w:cs="Times New Roman"/>
          <w:szCs w:val="24"/>
        </w:rPr>
        <w:t xml:space="preserve"> </w:t>
      </w:r>
    </w:p>
    <w:p w14:paraId="6EF44C69" w14:textId="77777777" w:rsidR="009A0AFC" w:rsidRPr="00182361" w:rsidRDefault="009A0AFC" w:rsidP="00FD452F">
      <w:pPr>
        <w:spacing w:line="240" w:lineRule="auto"/>
        <w:ind w:left="720" w:right="576"/>
        <w:rPr>
          <w:rFonts w:cs="Times New Roman"/>
          <w:szCs w:val="24"/>
        </w:rPr>
      </w:pPr>
    </w:p>
    <w:p w14:paraId="4BD7B413" w14:textId="0FF65BB3" w:rsidR="00182361" w:rsidRPr="00182361" w:rsidRDefault="00182361" w:rsidP="00FD452F">
      <w:pPr>
        <w:spacing w:line="276" w:lineRule="auto"/>
        <w:ind w:hanging="360"/>
        <w:rPr>
          <w:szCs w:val="24"/>
        </w:rPr>
      </w:pPr>
      <w:r w:rsidRPr="00E65790">
        <w:rPr>
          <w:b/>
          <w:smallCaps/>
          <w:sz w:val="36"/>
          <w:szCs w:val="36"/>
        </w:rPr>
        <w:t>W</w:t>
      </w:r>
      <w:r w:rsidRPr="00182361">
        <w:rPr>
          <w:b/>
          <w:smallCaps/>
          <w:szCs w:val="24"/>
        </w:rPr>
        <w:t>herefore,</w:t>
      </w:r>
      <w:r w:rsidRPr="00182361">
        <w:rPr>
          <w:szCs w:val="24"/>
        </w:rPr>
        <w:t xml:space="preserve"> petitioner denies this court personam jurisdiction and moves </w:t>
      </w:r>
      <w:r w:rsidR="00806921">
        <w:rPr>
          <w:rFonts w:cs="Times New Roman"/>
          <w:szCs w:val="24"/>
        </w:rPr>
        <w:t>“</w:t>
      </w:r>
      <w:r w:rsidR="00806921" w:rsidRPr="00806921">
        <w:rPr>
          <w:rFonts w:cs="Times New Roman"/>
          <w:color w:val="FF0000"/>
          <w:szCs w:val="24"/>
        </w:rPr>
        <w:t xml:space="preserve">Your Town, Village, or Traffic </w:t>
      </w:r>
      <w:r w:rsidR="00806921">
        <w:rPr>
          <w:rFonts w:cs="Times New Roman"/>
          <w:szCs w:val="24"/>
        </w:rPr>
        <w:t>C</w:t>
      </w:r>
      <w:r w:rsidR="00806921" w:rsidRPr="00182361">
        <w:rPr>
          <w:rFonts w:cs="Times New Roman"/>
          <w:szCs w:val="24"/>
        </w:rPr>
        <w:t>ourt</w:t>
      </w:r>
      <w:r w:rsidR="00806921">
        <w:rPr>
          <w:rFonts w:cs="Times New Roman"/>
          <w:szCs w:val="24"/>
        </w:rPr>
        <w:t>”</w:t>
      </w:r>
      <w:r w:rsidR="00806921" w:rsidRPr="00182361">
        <w:rPr>
          <w:rFonts w:cs="Times New Roman"/>
          <w:szCs w:val="24"/>
        </w:rPr>
        <w:t xml:space="preserve"> </w:t>
      </w:r>
      <w:r w:rsidRPr="00182361">
        <w:rPr>
          <w:szCs w:val="24"/>
        </w:rPr>
        <w:t>to cease and desist from all unlawful actions against petitioner. Disobedience of the law will force the petitioner to move to Federal Court for cause and sue for denial of due process.</w:t>
      </w:r>
      <w:r w:rsidR="00FD452F" w:rsidRPr="00FD452F">
        <w:rPr>
          <w:rFonts w:cs="Times New Roman"/>
          <w:szCs w:val="24"/>
        </w:rPr>
        <w:t xml:space="preserve"> </w:t>
      </w:r>
      <w:r w:rsidR="00FD452F">
        <w:rPr>
          <w:rFonts w:cs="Times New Roman"/>
          <w:szCs w:val="24"/>
        </w:rPr>
        <w:t>Should the “</w:t>
      </w:r>
      <w:r w:rsidR="00806921">
        <w:rPr>
          <w:rFonts w:cs="Times New Roman"/>
          <w:szCs w:val="24"/>
        </w:rPr>
        <w:t>“</w:t>
      </w:r>
      <w:r w:rsidR="00806921" w:rsidRPr="00806921">
        <w:rPr>
          <w:rFonts w:cs="Times New Roman"/>
          <w:color w:val="FF0000"/>
          <w:szCs w:val="24"/>
        </w:rPr>
        <w:t xml:space="preserve">Your Town, Village, or Traffic </w:t>
      </w:r>
      <w:r w:rsidR="00806921">
        <w:rPr>
          <w:rFonts w:cs="Times New Roman"/>
          <w:szCs w:val="24"/>
        </w:rPr>
        <w:t>C</w:t>
      </w:r>
      <w:r w:rsidR="00806921" w:rsidRPr="00182361">
        <w:rPr>
          <w:rFonts w:cs="Times New Roman"/>
          <w:szCs w:val="24"/>
        </w:rPr>
        <w:t>ourt</w:t>
      </w:r>
      <w:r w:rsidR="00806921">
        <w:rPr>
          <w:rFonts w:cs="Times New Roman"/>
          <w:szCs w:val="24"/>
        </w:rPr>
        <w:t>”</w:t>
      </w:r>
      <w:r w:rsidR="00806921" w:rsidRPr="00182361">
        <w:rPr>
          <w:rFonts w:cs="Times New Roman"/>
          <w:szCs w:val="24"/>
        </w:rPr>
        <w:t xml:space="preserve"> </w:t>
      </w:r>
      <w:r w:rsidR="00FD452F">
        <w:rPr>
          <w:rFonts w:cs="Times New Roman"/>
          <w:szCs w:val="24"/>
        </w:rPr>
        <w:t>decide to unlawfully pursue prosecuting said complaint the petitioner demands that all officers of said court place on the record their oaths, bonds, and financials as prescribed by Law.</w:t>
      </w:r>
    </w:p>
    <w:p w14:paraId="5AFF7A69" w14:textId="59B1524A" w:rsidR="00182361" w:rsidRDefault="00182361" w:rsidP="00182361">
      <w:pPr>
        <w:spacing w:after="0" w:line="360" w:lineRule="auto"/>
        <w:ind w:firstLine="720"/>
        <w:rPr>
          <w:szCs w:val="24"/>
        </w:rPr>
      </w:pPr>
      <w:r w:rsidRPr="00182361">
        <w:rPr>
          <w:szCs w:val="24"/>
        </w:rPr>
        <w:t>SEAL</w:t>
      </w:r>
    </w:p>
    <w:p w14:paraId="16080309" w14:textId="32ED6E68" w:rsidR="00182361" w:rsidRPr="00182361" w:rsidRDefault="00182361" w:rsidP="00182361">
      <w:pPr>
        <w:spacing w:line="360" w:lineRule="auto"/>
        <w:jc w:val="right"/>
        <w:rPr>
          <w:szCs w:val="24"/>
        </w:rPr>
      </w:pPr>
      <w:r w:rsidRPr="00182361">
        <w:rPr>
          <w:szCs w:val="24"/>
        </w:rPr>
        <w:t>___________</w:t>
      </w:r>
      <w:r>
        <w:rPr>
          <w:szCs w:val="24"/>
        </w:rPr>
        <w:t>_</w:t>
      </w:r>
      <w:r w:rsidRPr="00182361">
        <w:rPr>
          <w:szCs w:val="24"/>
        </w:rPr>
        <w:t>___________________</w:t>
      </w:r>
    </w:p>
    <w:p w14:paraId="4C693188" w14:textId="16C2D2B4" w:rsidR="00182361" w:rsidRPr="00182361" w:rsidRDefault="00337834" w:rsidP="00182361">
      <w:pPr>
        <w:spacing w:line="360" w:lineRule="auto"/>
        <w:ind w:left="5040" w:firstLine="720"/>
        <w:rPr>
          <w:szCs w:val="24"/>
        </w:rPr>
      </w:pPr>
      <w:r w:rsidRPr="00337834">
        <w:rPr>
          <w:color w:val="FF0000"/>
          <w:szCs w:val="24"/>
        </w:rPr>
        <w:t>Your Name</w:t>
      </w:r>
      <w:r w:rsidR="00182361">
        <w:rPr>
          <w:szCs w:val="24"/>
        </w:rPr>
        <w:t>, In Pro Per</w:t>
      </w:r>
    </w:p>
    <w:p w14:paraId="1CE2BCB9" w14:textId="767DD220" w:rsidR="00182361" w:rsidRPr="00182361" w:rsidRDefault="00182361" w:rsidP="00182361">
      <w:pPr>
        <w:spacing w:line="240" w:lineRule="auto"/>
        <w:jc w:val="center"/>
        <w:rPr>
          <w:rFonts w:cs="Times New Roman"/>
          <w:b/>
          <w:szCs w:val="24"/>
        </w:rPr>
      </w:pPr>
      <w:r w:rsidRPr="00182361">
        <w:rPr>
          <w:rFonts w:cs="Times New Roman"/>
          <w:b/>
          <w:szCs w:val="24"/>
        </w:rPr>
        <w:t>NOTARY</w:t>
      </w:r>
    </w:p>
    <w:p w14:paraId="416ECBB7" w14:textId="6D913E3C" w:rsidR="00182361" w:rsidRPr="00182361" w:rsidRDefault="00337834" w:rsidP="00182361">
      <w:pPr>
        <w:spacing w:line="240" w:lineRule="auto"/>
        <w:rPr>
          <w:rFonts w:cs="Times New Roman"/>
          <w:sz w:val="20"/>
          <w:szCs w:val="20"/>
        </w:rPr>
      </w:pPr>
      <w:r w:rsidRPr="00337834">
        <w:rPr>
          <w:rFonts w:cs="Times New Roman"/>
          <w:color w:val="FF0000"/>
          <w:sz w:val="20"/>
          <w:szCs w:val="20"/>
        </w:rPr>
        <w:t>Your</w:t>
      </w:r>
      <w:r w:rsidR="00182361" w:rsidRPr="00182361">
        <w:rPr>
          <w:rFonts w:cs="Times New Roman"/>
          <w:sz w:val="20"/>
          <w:szCs w:val="20"/>
        </w:rPr>
        <w:t xml:space="preserve"> State, </w:t>
      </w:r>
      <w:r w:rsidRPr="00337834">
        <w:rPr>
          <w:rFonts w:cs="Times New Roman"/>
          <w:color w:val="FF0000"/>
          <w:sz w:val="20"/>
          <w:szCs w:val="20"/>
        </w:rPr>
        <w:t>Your</w:t>
      </w:r>
      <w:r w:rsidR="00182361" w:rsidRPr="00337834">
        <w:rPr>
          <w:rFonts w:cs="Times New Roman"/>
          <w:color w:val="FF0000"/>
          <w:sz w:val="20"/>
          <w:szCs w:val="20"/>
        </w:rPr>
        <w:t xml:space="preserve"> </w:t>
      </w:r>
      <w:r w:rsidR="00182361" w:rsidRPr="00182361">
        <w:rPr>
          <w:rFonts w:cs="Times New Roman"/>
          <w:sz w:val="20"/>
          <w:szCs w:val="20"/>
        </w:rPr>
        <w:t xml:space="preserve">County on this </w:t>
      </w:r>
      <w:r w:rsidRPr="00337834">
        <w:rPr>
          <w:rFonts w:cs="Times New Roman"/>
          <w:color w:val="FF0000"/>
          <w:sz w:val="20"/>
          <w:szCs w:val="20"/>
        </w:rPr>
        <w:t>___</w:t>
      </w:r>
      <w:r w:rsidR="00182361" w:rsidRPr="00337834">
        <w:rPr>
          <w:rFonts w:cs="Times New Roman"/>
          <w:color w:val="FF0000"/>
          <w:sz w:val="20"/>
          <w:szCs w:val="20"/>
        </w:rPr>
        <w:t xml:space="preserve"> day of </w:t>
      </w:r>
      <w:r w:rsidRPr="00337834">
        <w:rPr>
          <w:rFonts w:cs="Times New Roman"/>
          <w:color w:val="FF0000"/>
          <w:sz w:val="20"/>
          <w:szCs w:val="20"/>
        </w:rPr>
        <w:t>_______</w:t>
      </w:r>
      <w:r w:rsidR="00182361" w:rsidRPr="00337834">
        <w:rPr>
          <w:rFonts w:cs="Times New Roman"/>
          <w:color w:val="FF0000"/>
          <w:sz w:val="20"/>
          <w:szCs w:val="20"/>
        </w:rPr>
        <w:t xml:space="preserve"> 2024</w:t>
      </w:r>
      <w:r w:rsidR="00182361" w:rsidRPr="00182361">
        <w:rPr>
          <w:rFonts w:cs="Times New Roman"/>
          <w:sz w:val="20"/>
          <w:szCs w:val="20"/>
        </w:rPr>
        <w:t xml:space="preserve"> before me, the subscriber, personally appeared </w:t>
      </w:r>
      <w:r w:rsidRPr="00337834">
        <w:rPr>
          <w:rFonts w:cs="Times New Roman"/>
          <w:color w:val="FF0000"/>
          <w:sz w:val="20"/>
          <w:szCs w:val="20"/>
        </w:rPr>
        <w:t>Your Name</w:t>
      </w:r>
      <w:r w:rsidR="00182361" w:rsidRPr="00182361">
        <w:rPr>
          <w:rFonts w:cs="Times New Roman"/>
          <w:sz w:val="20"/>
          <w:szCs w:val="20"/>
        </w:rPr>
        <w:t xml:space="preserve"> to me known to be the living (wo)man described in and who executed the forgoing instrument and sworn before me that they executed the same as their free will act and deed.</w:t>
      </w:r>
    </w:p>
    <w:p w14:paraId="528A0265" w14:textId="557137CA" w:rsidR="00182361" w:rsidRPr="00182361" w:rsidRDefault="00182361" w:rsidP="00182361">
      <w:pPr>
        <w:spacing w:after="0"/>
        <w:jc w:val="right"/>
        <w:rPr>
          <w:rFonts w:cs="Times New Roman"/>
          <w:sz w:val="20"/>
          <w:szCs w:val="20"/>
        </w:rPr>
      </w:pPr>
      <w:r w:rsidRPr="00182361">
        <w:rPr>
          <w:rFonts w:cs="Times New Roman"/>
          <w:sz w:val="20"/>
          <w:szCs w:val="20"/>
        </w:rPr>
        <w:t>_____________________________</w:t>
      </w:r>
    </w:p>
    <w:p w14:paraId="138AD182" w14:textId="352BD475" w:rsidR="00182361" w:rsidRPr="00182361" w:rsidRDefault="00182361" w:rsidP="00182361">
      <w:pPr>
        <w:rPr>
          <w:rFonts w:cs="Times New Roman"/>
          <w:sz w:val="20"/>
          <w:szCs w:val="20"/>
        </w:rPr>
      </w:pPr>
      <w:r w:rsidRPr="00182361">
        <w:rPr>
          <w:rFonts w:cs="Times New Roman"/>
          <w:sz w:val="20"/>
          <w:szCs w:val="20"/>
        </w:rPr>
        <w:tab/>
        <w:t>(Notary Seal)</w:t>
      </w:r>
      <w:r w:rsidRPr="00182361">
        <w:rPr>
          <w:rFonts w:cs="Times New Roman"/>
          <w:sz w:val="20"/>
          <w:szCs w:val="20"/>
        </w:rPr>
        <w:tab/>
      </w:r>
      <w:r w:rsidRPr="00182361">
        <w:rPr>
          <w:rFonts w:cs="Times New Roman"/>
          <w:sz w:val="20"/>
          <w:szCs w:val="20"/>
        </w:rPr>
        <w:tab/>
      </w:r>
      <w:r w:rsidRPr="00182361">
        <w:rPr>
          <w:rFonts w:cs="Times New Roman"/>
          <w:sz w:val="20"/>
          <w:szCs w:val="20"/>
        </w:rPr>
        <w:tab/>
      </w:r>
      <w:r w:rsidRPr="00182361">
        <w:rPr>
          <w:rFonts w:cs="Times New Roman"/>
          <w:sz w:val="20"/>
          <w:szCs w:val="20"/>
        </w:rPr>
        <w:tab/>
      </w:r>
      <w:r w:rsidRPr="00182361">
        <w:rPr>
          <w:rFonts w:cs="Times New Roman"/>
          <w:sz w:val="20"/>
          <w:szCs w:val="20"/>
        </w:rPr>
        <w:tab/>
      </w:r>
      <w:r>
        <w:rPr>
          <w:rFonts w:cs="Times New Roman"/>
          <w:sz w:val="20"/>
          <w:szCs w:val="20"/>
        </w:rPr>
        <w:tab/>
      </w:r>
      <w:r>
        <w:rPr>
          <w:rFonts w:cs="Times New Roman"/>
          <w:sz w:val="20"/>
          <w:szCs w:val="20"/>
        </w:rPr>
        <w:tab/>
      </w:r>
      <w:r w:rsidRPr="00182361">
        <w:rPr>
          <w:rFonts w:cs="Times New Roman"/>
          <w:sz w:val="20"/>
          <w:szCs w:val="20"/>
        </w:rPr>
        <w:tab/>
        <w:t>Notary</w:t>
      </w:r>
    </w:p>
    <w:sectPr w:rsidR="00182361" w:rsidRPr="00182361" w:rsidSect="00234B2C">
      <w:footerReference w:type="default" r:id="rId7"/>
      <w:type w:val="continuous"/>
      <w:pgSz w:w="12240" w:h="15840"/>
      <w:pgMar w:top="1296" w:right="1440" w:bottom="1440" w:left="1440" w:header="720" w:footer="720" w:gutter="0"/>
      <w:lnNumType w:countBy="5" w:start="4"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A70008" w14:textId="77777777" w:rsidR="00234B2C" w:rsidRDefault="00234B2C" w:rsidP="00E01BAB">
      <w:pPr>
        <w:spacing w:after="0" w:line="240" w:lineRule="auto"/>
      </w:pPr>
      <w:r>
        <w:separator/>
      </w:r>
    </w:p>
  </w:endnote>
  <w:endnote w:type="continuationSeparator" w:id="0">
    <w:p w14:paraId="00C09D5C" w14:textId="77777777" w:rsidR="00234B2C" w:rsidRDefault="00234B2C" w:rsidP="00E01B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00948522"/>
      <w:docPartObj>
        <w:docPartGallery w:val="Page Numbers (Bottom of Page)"/>
        <w:docPartUnique/>
      </w:docPartObj>
    </w:sdtPr>
    <w:sdtContent>
      <w:sdt>
        <w:sdtPr>
          <w:id w:val="1728636285"/>
          <w:docPartObj>
            <w:docPartGallery w:val="Page Numbers (Top of Page)"/>
            <w:docPartUnique/>
          </w:docPartObj>
        </w:sdtPr>
        <w:sdtContent>
          <w:p w14:paraId="6D63AC4F" w14:textId="0D4BF8A5" w:rsidR="00A36D58" w:rsidRDefault="00A36D58">
            <w:pPr>
              <w:pStyle w:val="Footer"/>
              <w:jc w:val="center"/>
            </w:pPr>
            <w:r>
              <w:t>Jurisdiction Challenge</w:t>
            </w:r>
            <w:r>
              <w:tab/>
            </w:r>
            <w:r>
              <w:tab/>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0429E4C5" w14:textId="77777777" w:rsidR="00A36D58" w:rsidRDefault="00A36D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0C3678" w14:textId="77777777" w:rsidR="00234B2C" w:rsidRDefault="00234B2C" w:rsidP="00E01BAB">
      <w:pPr>
        <w:spacing w:after="0" w:line="240" w:lineRule="auto"/>
      </w:pPr>
      <w:r>
        <w:separator/>
      </w:r>
    </w:p>
  </w:footnote>
  <w:footnote w:type="continuationSeparator" w:id="0">
    <w:p w14:paraId="3394C6D7" w14:textId="77777777" w:rsidR="00234B2C" w:rsidRDefault="00234B2C" w:rsidP="00E01BAB">
      <w:pPr>
        <w:spacing w:after="0" w:line="240" w:lineRule="auto"/>
      </w:pPr>
      <w:r>
        <w:continuationSeparator/>
      </w:r>
    </w:p>
  </w:footnote>
  <w:footnote w:id="1">
    <w:p w14:paraId="464CAA68" w14:textId="7AF47259" w:rsidR="00E01BAB" w:rsidRPr="00F729A2" w:rsidRDefault="00E01BAB" w:rsidP="00E01BAB">
      <w:pPr>
        <w:pStyle w:val="FootnoteText"/>
        <w:rPr>
          <w:rFonts w:cstheme="minorHAnsi"/>
          <w:bCs/>
          <w:sz w:val="18"/>
          <w:szCs w:val="18"/>
        </w:rPr>
      </w:pPr>
      <w:r w:rsidRPr="00F729A2">
        <w:rPr>
          <w:rStyle w:val="FootnoteReference"/>
          <w:rFonts w:cstheme="minorHAnsi"/>
          <w:bCs/>
          <w:sz w:val="18"/>
          <w:szCs w:val="18"/>
        </w:rPr>
        <w:footnoteRef/>
      </w:r>
      <w:r w:rsidRPr="00F729A2">
        <w:rPr>
          <w:rFonts w:cstheme="minorHAnsi"/>
          <w:bCs/>
          <w:sz w:val="18"/>
          <w:szCs w:val="18"/>
        </w:rPr>
        <w:t xml:space="preserve"> </w:t>
      </w:r>
      <w:r w:rsidR="00CC77EE">
        <w:rPr>
          <w:rFonts w:cstheme="minorHAnsi"/>
          <w:bCs/>
          <w:sz w:val="18"/>
          <w:szCs w:val="18"/>
        </w:rPr>
        <w:t>“</w:t>
      </w:r>
      <w:r w:rsidRPr="00F729A2">
        <w:rPr>
          <w:rFonts w:cstheme="minorHAnsi"/>
          <w:bCs/>
          <w:sz w:val="18"/>
          <w:szCs w:val="18"/>
        </w:rPr>
        <w:t>A Court of Record is a judicial tribunal having attributes and exercising functions independently of the person of the magistrate designated generally to hold it, and proceeding according to the course of common law, its acts and proceedings being enrolled for a perpetual memorial</w:t>
      </w:r>
      <w:r w:rsidR="00360AE5">
        <w:rPr>
          <w:rFonts w:cstheme="minorHAnsi"/>
          <w:bCs/>
          <w:sz w:val="18"/>
          <w:szCs w:val="18"/>
        </w:rPr>
        <w:t>.</w:t>
      </w:r>
      <w:r w:rsidR="00CC77EE">
        <w:rPr>
          <w:rFonts w:cstheme="minorHAnsi"/>
          <w:bCs/>
          <w:sz w:val="18"/>
          <w:szCs w:val="18"/>
        </w:rPr>
        <w:t>”</w:t>
      </w:r>
      <w:r w:rsidRPr="00F729A2">
        <w:rPr>
          <w:rFonts w:cstheme="minorHAnsi"/>
          <w:bCs/>
          <w:sz w:val="18"/>
          <w:szCs w:val="18"/>
        </w:rPr>
        <w:t xml:space="preserve"> </w:t>
      </w:r>
      <w:r w:rsidR="00360AE5">
        <w:rPr>
          <w:rFonts w:cstheme="minorHAnsi"/>
          <w:bCs/>
          <w:sz w:val="18"/>
          <w:szCs w:val="18"/>
        </w:rPr>
        <w:t xml:space="preserve">Blacks Law; Quoting </w:t>
      </w:r>
      <w:r w:rsidRPr="00F729A2">
        <w:rPr>
          <w:rFonts w:cstheme="minorHAnsi"/>
          <w:bCs/>
          <w:sz w:val="18"/>
          <w:szCs w:val="18"/>
        </w:rPr>
        <w:t xml:space="preserve">Jones v. Jones, 188 </w:t>
      </w:r>
      <w:proofErr w:type="spellStart"/>
      <w:r w:rsidRPr="00F729A2">
        <w:rPr>
          <w:rFonts w:cstheme="minorHAnsi"/>
          <w:bCs/>
          <w:sz w:val="18"/>
          <w:szCs w:val="18"/>
        </w:rPr>
        <w:t>Mo.App</w:t>
      </w:r>
      <w:proofErr w:type="spellEnd"/>
      <w:r w:rsidRPr="00F729A2">
        <w:rPr>
          <w:rFonts w:cstheme="minorHAnsi"/>
          <w:bCs/>
          <w:sz w:val="18"/>
          <w:szCs w:val="18"/>
        </w:rPr>
        <w:t xml:space="preserve">. 220, 175 S.W. 227, 229; Ex parte Gladhill, 8 </w:t>
      </w:r>
      <w:proofErr w:type="spellStart"/>
      <w:r w:rsidRPr="00F729A2">
        <w:rPr>
          <w:rFonts w:cstheme="minorHAnsi"/>
          <w:bCs/>
          <w:sz w:val="18"/>
          <w:szCs w:val="18"/>
        </w:rPr>
        <w:t>Metc</w:t>
      </w:r>
      <w:proofErr w:type="spellEnd"/>
      <w:r w:rsidRPr="00F729A2">
        <w:rPr>
          <w:rFonts w:cstheme="minorHAnsi"/>
          <w:bCs/>
          <w:sz w:val="18"/>
          <w:szCs w:val="18"/>
        </w:rPr>
        <w:t xml:space="preserve">. Mass., 171, per Shaw, C.J.  See, also, Ledwith v. </w:t>
      </w:r>
      <w:proofErr w:type="spellStart"/>
      <w:r w:rsidRPr="00F729A2">
        <w:rPr>
          <w:rFonts w:cstheme="minorHAnsi"/>
          <w:bCs/>
          <w:sz w:val="18"/>
          <w:szCs w:val="18"/>
        </w:rPr>
        <w:t>Rosalsky</w:t>
      </w:r>
      <w:proofErr w:type="spellEnd"/>
      <w:r w:rsidRPr="00F729A2">
        <w:rPr>
          <w:rFonts w:cstheme="minorHAnsi"/>
          <w:bCs/>
          <w:sz w:val="18"/>
          <w:szCs w:val="18"/>
        </w:rPr>
        <w:t>, 244 N.Y. 406, 155 N.E. 688, 689.</w:t>
      </w:r>
    </w:p>
  </w:footnote>
  <w:footnote w:id="2">
    <w:p w14:paraId="00FD2E4C" w14:textId="4DC2B400" w:rsidR="00182361" w:rsidRPr="00F729A2" w:rsidRDefault="00182361" w:rsidP="00182361">
      <w:pPr>
        <w:pStyle w:val="FootnoteText"/>
        <w:rPr>
          <w:bCs/>
          <w:sz w:val="18"/>
          <w:szCs w:val="18"/>
        </w:rPr>
      </w:pPr>
      <w:r w:rsidRPr="00F729A2">
        <w:rPr>
          <w:rStyle w:val="FootnoteReference"/>
          <w:bCs/>
          <w:sz w:val="18"/>
          <w:szCs w:val="18"/>
        </w:rPr>
        <w:footnoteRef/>
      </w:r>
      <w:r w:rsidRPr="00F729A2">
        <w:rPr>
          <w:bCs/>
          <w:sz w:val="18"/>
          <w:szCs w:val="18"/>
        </w:rPr>
        <w:t xml:space="preserve"> An affidavit uncontested unrebutted unanswered stands as truth. - </w:t>
      </w:r>
      <w:r w:rsidR="00360AE5">
        <w:rPr>
          <w:rFonts w:cstheme="minorHAnsi"/>
          <w:bCs/>
          <w:sz w:val="18"/>
          <w:szCs w:val="18"/>
        </w:rPr>
        <w:t xml:space="preserve">Blacks Law; Quoting </w:t>
      </w:r>
      <w:r w:rsidRPr="00F729A2">
        <w:rPr>
          <w:bCs/>
          <w:sz w:val="18"/>
          <w:szCs w:val="18"/>
        </w:rPr>
        <w:t>United States v. Kis, 658 F.2d 526, 536 (7th Cir. 1981); Cert. Denied, 50 U.S. L. W. 2169; S. Ct. March 22, 1982 1982.</w:t>
      </w:r>
    </w:p>
  </w:footnote>
  <w:footnote w:id="3">
    <w:p w14:paraId="0BE5D541" w14:textId="48E6B615" w:rsidR="00182361" w:rsidRPr="00F729A2" w:rsidRDefault="00182361" w:rsidP="00182361">
      <w:pPr>
        <w:pStyle w:val="FootnoteText"/>
        <w:rPr>
          <w:rFonts w:cstheme="minorHAnsi"/>
          <w:bCs/>
          <w:sz w:val="18"/>
          <w:szCs w:val="18"/>
        </w:rPr>
      </w:pPr>
      <w:r w:rsidRPr="00F729A2">
        <w:rPr>
          <w:rStyle w:val="FootnoteReference"/>
          <w:rFonts w:cstheme="minorHAnsi"/>
          <w:bCs/>
          <w:sz w:val="18"/>
          <w:szCs w:val="18"/>
        </w:rPr>
        <w:footnoteRef/>
      </w:r>
      <w:r w:rsidRPr="00F729A2">
        <w:rPr>
          <w:rFonts w:cstheme="minorHAnsi"/>
          <w:bCs/>
          <w:sz w:val="18"/>
          <w:szCs w:val="18"/>
        </w:rPr>
        <w:t xml:space="preserve"> PEOPLE: People are supreme, not the state. </w:t>
      </w:r>
      <w:r w:rsidR="00360AE5">
        <w:rPr>
          <w:rFonts w:cstheme="minorHAnsi"/>
          <w:bCs/>
          <w:sz w:val="18"/>
          <w:szCs w:val="18"/>
        </w:rPr>
        <w:t xml:space="preserve">- Blacks Law; Quoting </w:t>
      </w:r>
      <w:r w:rsidRPr="00F729A2">
        <w:rPr>
          <w:rFonts w:cstheme="minorHAnsi"/>
          <w:bCs/>
          <w:sz w:val="18"/>
          <w:szCs w:val="18"/>
        </w:rPr>
        <w:t xml:space="preserve">Waring vs. the Mayor of Savanah, 60 </w:t>
      </w:r>
      <w:proofErr w:type="spellStart"/>
      <w:r w:rsidRPr="00F729A2">
        <w:rPr>
          <w:rFonts w:cstheme="minorHAnsi"/>
          <w:bCs/>
          <w:sz w:val="18"/>
          <w:szCs w:val="18"/>
        </w:rPr>
        <w:t>Georgiaat</w:t>
      </w:r>
      <w:proofErr w:type="spellEnd"/>
      <w:r w:rsidRPr="00F729A2">
        <w:rPr>
          <w:rFonts w:cstheme="minorHAnsi"/>
          <w:bCs/>
          <w:sz w:val="18"/>
          <w:szCs w:val="18"/>
        </w:rPr>
        <w:t xml:space="preserve"> 93; The state cannot diminish rights of the people. </w:t>
      </w:r>
      <w:r w:rsidR="00360AE5">
        <w:rPr>
          <w:rFonts w:cstheme="minorHAnsi"/>
          <w:bCs/>
          <w:sz w:val="18"/>
          <w:szCs w:val="18"/>
        </w:rPr>
        <w:t xml:space="preserve">- Blacks Law; Quoting </w:t>
      </w:r>
      <w:proofErr w:type="spellStart"/>
      <w:r w:rsidRPr="00F729A2">
        <w:rPr>
          <w:rFonts w:cstheme="minorHAnsi"/>
          <w:bCs/>
          <w:sz w:val="18"/>
          <w:szCs w:val="18"/>
        </w:rPr>
        <w:t>Hertado</w:t>
      </w:r>
      <w:proofErr w:type="spellEnd"/>
      <w:r w:rsidRPr="00F729A2">
        <w:rPr>
          <w:rFonts w:cstheme="minorHAnsi"/>
          <w:bCs/>
          <w:sz w:val="18"/>
          <w:szCs w:val="18"/>
        </w:rPr>
        <w:t xml:space="preserve"> v. California, 100 US 516</w:t>
      </w:r>
      <w:r w:rsidR="00360AE5">
        <w:rPr>
          <w:rFonts w:cstheme="minorHAnsi"/>
          <w:bCs/>
          <w:sz w:val="18"/>
          <w:szCs w:val="18"/>
        </w:rPr>
        <w:t>;</w:t>
      </w:r>
      <w:r w:rsidRPr="00F729A2">
        <w:rPr>
          <w:rFonts w:cstheme="minorHAnsi"/>
          <w:bCs/>
          <w:sz w:val="18"/>
          <w:szCs w:val="18"/>
        </w:rPr>
        <w:t xml:space="preserve"> Preamble to the US and NY Constitutions - We the people ... do ordain and establish this Constitution...; ...at the Revolution, the sovereignty devolved on the people; and they are truly the sovereigns of the country, but they are sovereigns without subjects...with none to govern but themselves... </w:t>
      </w:r>
      <w:r w:rsidR="00360AE5">
        <w:rPr>
          <w:rFonts w:cstheme="minorHAnsi"/>
          <w:bCs/>
          <w:sz w:val="18"/>
          <w:szCs w:val="18"/>
        </w:rPr>
        <w:t xml:space="preserve">- Blacks Law; Quoting </w:t>
      </w:r>
      <w:r w:rsidRPr="00F729A2">
        <w:rPr>
          <w:rFonts w:cstheme="minorHAnsi"/>
          <w:bCs/>
          <w:sz w:val="18"/>
          <w:szCs w:val="18"/>
        </w:rPr>
        <w:t xml:space="preserve">CHISHOLM v. GEORGIA (US) 2 Dall 419, 454, 1 L Ed 440, 455, 2 DALL (1793) pp471-472]: The people of this State, as the successors of its former sovereign, are entitled to all the rights which formerly belonged to the King by his prerogative. </w:t>
      </w:r>
      <w:r w:rsidR="00360AE5">
        <w:rPr>
          <w:rFonts w:cstheme="minorHAnsi"/>
          <w:bCs/>
          <w:sz w:val="18"/>
          <w:szCs w:val="18"/>
        </w:rPr>
        <w:t xml:space="preserve">- Blacks Law; Quoting </w:t>
      </w:r>
      <w:r w:rsidRPr="00F729A2">
        <w:rPr>
          <w:rFonts w:cstheme="minorHAnsi"/>
          <w:bCs/>
          <w:sz w:val="18"/>
          <w:szCs w:val="18"/>
        </w:rPr>
        <w:t xml:space="preserve">Lansing v. Smith, 4 Wend. 9 (N.Y.) (1829), 21 Am. Dec. 89 10C Const. Law Sec. 298; 18 C </w:t>
      </w:r>
      <w:proofErr w:type="spellStart"/>
      <w:r w:rsidRPr="00F729A2">
        <w:rPr>
          <w:rFonts w:cstheme="minorHAnsi"/>
          <w:bCs/>
          <w:sz w:val="18"/>
          <w:szCs w:val="18"/>
        </w:rPr>
        <w:t>Em.Dom</w:t>
      </w:r>
      <w:proofErr w:type="spellEnd"/>
      <w:r w:rsidRPr="00F729A2">
        <w:rPr>
          <w:rFonts w:cstheme="minorHAnsi"/>
          <w:bCs/>
          <w:sz w:val="18"/>
          <w:szCs w:val="18"/>
        </w:rPr>
        <w:t xml:space="preserve">. Sec. 3, 228; 37 C </w:t>
      </w:r>
      <w:proofErr w:type="spellStart"/>
      <w:r w:rsidRPr="00F729A2">
        <w:rPr>
          <w:rFonts w:cstheme="minorHAnsi"/>
          <w:bCs/>
          <w:sz w:val="18"/>
          <w:szCs w:val="18"/>
        </w:rPr>
        <w:t>Nav.Wat</w:t>
      </w:r>
      <w:proofErr w:type="spellEnd"/>
      <w:r w:rsidRPr="00F729A2">
        <w:rPr>
          <w:rFonts w:cstheme="minorHAnsi"/>
          <w:bCs/>
          <w:sz w:val="18"/>
          <w:szCs w:val="18"/>
        </w:rPr>
        <w:t xml:space="preserve">. Sec. 219; </w:t>
      </w:r>
      <w:proofErr w:type="spellStart"/>
      <w:r w:rsidRPr="00F729A2">
        <w:rPr>
          <w:rFonts w:cstheme="minorHAnsi"/>
          <w:bCs/>
          <w:sz w:val="18"/>
          <w:szCs w:val="18"/>
        </w:rPr>
        <w:t>Nuls</w:t>
      </w:r>
      <w:proofErr w:type="spellEnd"/>
      <w:r w:rsidRPr="00F729A2">
        <w:rPr>
          <w:rFonts w:cstheme="minorHAnsi"/>
          <w:bCs/>
          <w:sz w:val="18"/>
          <w:szCs w:val="18"/>
        </w:rPr>
        <w:t xml:space="preserve"> Sec. 167; 48 C Wharves Sec. 3, 7.</w:t>
      </w:r>
    </w:p>
  </w:footnote>
  <w:footnote w:id="4">
    <w:p w14:paraId="0B32E892" w14:textId="2AE0D6F5" w:rsidR="00182361" w:rsidRPr="00F729A2" w:rsidRDefault="00182361" w:rsidP="00182361">
      <w:pPr>
        <w:pStyle w:val="FootnoteText"/>
        <w:rPr>
          <w:bCs/>
          <w:sz w:val="18"/>
          <w:szCs w:val="18"/>
        </w:rPr>
      </w:pPr>
      <w:r w:rsidRPr="00F729A2">
        <w:rPr>
          <w:rStyle w:val="FootnoteReference"/>
          <w:bCs/>
          <w:sz w:val="18"/>
          <w:szCs w:val="18"/>
        </w:rPr>
        <w:footnoteRef/>
      </w:r>
      <w:r w:rsidRPr="00F729A2">
        <w:rPr>
          <w:bCs/>
          <w:sz w:val="18"/>
          <w:szCs w:val="18"/>
        </w:rPr>
        <w:t xml:space="preserve"> A </w:t>
      </w:r>
      <w:r w:rsidRPr="00F729A2">
        <w:rPr>
          <w:rFonts w:cs="Times New Roman"/>
          <w:bCs/>
          <w:sz w:val="18"/>
          <w:szCs w:val="18"/>
        </w:rPr>
        <w:t xml:space="preserve">Special Appearance is for the purpose of testing the sufficiency of service or the jurisdiction of the court; a general appearance is made where the defendant waives defects of service and submits to the jurisdiction. - </w:t>
      </w:r>
      <w:r w:rsidR="00360AE5">
        <w:rPr>
          <w:rFonts w:cstheme="minorHAnsi"/>
          <w:bCs/>
          <w:sz w:val="18"/>
          <w:szCs w:val="18"/>
        </w:rPr>
        <w:t xml:space="preserve">Blacks Law; Quoting </w:t>
      </w:r>
      <w:r w:rsidRPr="00F729A2">
        <w:rPr>
          <w:rFonts w:cs="Times New Roman"/>
          <w:bCs/>
          <w:sz w:val="18"/>
          <w:szCs w:val="18"/>
        </w:rPr>
        <w:t>State v. Huller, 23 N.M. 306, 168 P. 528, 534, 1 A.L.R. 170.</w:t>
      </w:r>
    </w:p>
  </w:footnote>
  <w:footnote w:id="5">
    <w:p w14:paraId="3B10F2BB" w14:textId="42C961A2" w:rsidR="00182361" w:rsidRPr="00F729A2" w:rsidRDefault="00182361" w:rsidP="00182361">
      <w:pPr>
        <w:pStyle w:val="FootnoteText"/>
        <w:rPr>
          <w:bCs/>
          <w:sz w:val="18"/>
          <w:szCs w:val="18"/>
        </w:rPr>
      </w:pPr>
      <w:r w:rsidRPr="00F729A2">
        <w:rPr>
          <w:rStyle w:val="FootnoteReference"/>
          <w:bCs/>
          <w:sz w:val="18"/>
          <w:szCs w:val="18"/>
        </w:rPr>
        <w:footnoteRef/>
      </w:r>
      <w:r w:rsidRPr="00F729A2">
        <w:rPr>
          <w:bCs/>
          <w:sz w:val="18"/>
          <w:szCs w:val="18"/>
        </w:rPr>
        <w:t xml:space="preserve"> </w:t>
      </w:r>
      <w:r w:rsidR="00CC77EE">
        <w:rPr>
          <w:bCs/>
          <w:sz w:val="18"/>
          <w:szCs w:val="18"/>
        </w:rPr>
        <w:t>“</w:t>
      </w:r>
      <w:r w:rsidRPr="00F729A2">
        <w:rPr>
          <w:bCs/>
          <w:sz w:val="18"/>
          <w:szCs w:val="18"/>
        </w:rPr>
        <w:t>Trial court acts without jurisdiction when it acts without inherent or common law authority, ...</w:t>
      </w:r>
      <w:r w:rsidR="00CC77EE">
        <w:rPr>
          <w:bCs/>
          <w:sz w:val="18"/>
          <w:szCs w:val="18"/>
        </w:rPr>
        <w:t>”</w:t>
      </w:r>
      <w:r w:rsidRPr="00F729A2">
        <w:rPr>
          <w:bCs/>
          <w:sz w:val="18"/>
          <w:szCs w:val="18"/>
        </w:rPr>
        <w:t xml:space="preserve"> </w:t>
      </w:r>
      <w:r w:rsidR="00360AE5">
        <w:rPr>
          <w:bCs/>
          <w:sz w:val="18"/>
          <w:szCs w:val="18"/>
        </w:rPr>
        <w:t xml:space="preserve">- </w:t>
      </w:r>
      <w:r w:rsidR="00360AE5">
        <w:rPr>
          <w:rFonts w:cstheme="minorHAnsi"/>
          <w:bCs/>
          <w:sz w:val="18"/>
          <w:szCs w:val="18"/>
        </w:rPr>
        <w:t xml:space="preserve">Blacks Law; Quoting </w:t>
      </w:r>
      <w:r w:rsidRPr="00F729A2">
        <w:rPr>
          <w:bCs/>
          <w:sz w:val="18"/>
          <w:szCs w:val="18"/>
        </w:rPr>
        <w:t xml:space="preserve">State v. Rodriguez, 725 A.2d 635, 125 </w:t>
      </w:r>
      <w:proofErr w:type="spellStart"/>
      <w:proofErr w:type="gramStart"/>
      <w:r w:rsidRPr="00F729A2">
        <w:rPr>
          <w:bCs/>
          <w:sz w:val="18"/>
          <w:szCs w:val="18"/>
        </w:rPr>
        <w:t>Md.App</w:t>
      </w:r>
      <w:proofErr w:type="spellEnd"/>
      <w:proofErr w:type="gramEnd"/>
      <w:r w:rsidRPr="00F729A2">
        <w:rPr>
          <w:bCs/>
          <w:sz w:val="18"/>
          <w:szCs w:val="18"/>
        </w:rPr>
        <w:t xml:space="preserve"> 428, cert den 731 A.2d 971,354 Md. 573 (1999).</w:t>
      </w:r>
    </w:p>
  </w:footnote>
  <w:footnote w:id="6">
    <w:p w14:paraId="7483AE0E" w14:textId="76773CF6" w:rsidR="00A924DB" w:rsidRPr="00A924DB" w:rsidRDefault="00A924DB">
      <w:pPr>
        <w:pStyle w:val="FootnoteText"/>
      </w:pPr>
      <w:r w:rsidRPr="00A924DB">
        <w:rPr>
          <w:rStyle w:val="FootnoteReference"/>
        </w:rPr>
        <w:footnoteRef/>
      </w:r>
      <w:r w:rsidRPr="00A924DB">
        <w:t xml:space="preserve"> </w:t>
      </w:r>
      <w:r w:rsidR="00360AE5">
        <w:rPr>
          <w:rFonts w:cstheme="minorHAnsi"/>
          <w:bCs/>
          <w:sz w:val="18"/>
          <w:szCs w:val="18"/>
        </w:rPr>
        <w:t xml:space="preserve">Blacks Law; Quoting </w:t>
      </w:r>
      <w:proofErr w:type="spellStart"/>
      <w:r w:rsidRPr="00A924DB">
        <w:rPr>
          <w:rFonts w:cs="Times New Roman"/>
          <w:szCs w:val="24"/>
        </w:rPr>
        <w:t>Lantanav</w:t>
      </w:r>
      <w:proofErr w:type="spellEnd"/>
      <w:r w:rsidRPr="00A924DB">
        <w:rPr>
          <w:rFonts w:cs="Times New Roman"/>
          <w:szCs w:val="24"/>
        </w:rPr>
        <w:t xml:space="preserve">. Hopper, 102 F2d 188; </w:t>
      </w:r>
      <w:proofErr w:type="spellStart"/>
      <w:r w:rsidRPr="00A924DB">
        <w:rPr>
          <w:rFonts w:cs="Times New Roman"/>
          <w:szCs w:val="24"/>
        </w:rPr>
        <w:t>Chicagov</w:t>
      </w:r>
      <w:proofErr w:type="spellEnd"/>
      <w:r w:rsidRPr="00A924DB">
        <w:rPr>
          <w:rFonts w:cs="Times New Roman"/>
          <w:szCs w:val="24"/>
        </w:rPr>
        <w:t>. New York, 37 F Supp 150.</w:t>
      </w:r>
    </w:p>
  </w:footnote>
  <w:footnote w:id="7">
    <w:p w14:paraId="228E9730" w14:textId="30010E58" w:rsidR="00A924DB" w:rsidRPr="00A924DB" w:rsidRDefault="00A924DB">
      <w:pPr>
        <w:pStyle w:val="FootnoteText"/>
      </w:pPr>
      <w:r w:rsidRPr="00A924DB">
        <w:rPr>
          <w:rStyle w:val="FootnoteReference"/>
        </w:rPr>
        <w:footnoteRef/>
      </w:r>
      <w:r w:rsidRPr="00A924DB">
        <w:t xml:space="preserve"> </w:t>
      </w:r>
      <w:r w:rsidR="00360AE5">
        <w:rPr>
          <w:rFonts w:cstheme="minorHAnsi"/>
          <w:bCs/>
          <w:sz w:val="18"/>
          <w:szCs w:val="18"/>
        </w:rPr>
        <w:t xml:space="preserve">Blacks Law; Quoting </w:t>
      </w:r>
      <w:r w:rsidRPr="00A924DB">
        <w:rPr>
          <w:rFonts w:cs="Times New Roman"/>
          <w:szCs w:val="24"/>
        </w:rPr>
        <w:t>Hagans v. Lavine, 415 U.S. 528</w:t>
      </w:r>
    </w:p>
  </w:footnote>
  <w:footnote w:id="8">
    <w:p w14:paraId="1AA0237D" w14:textId="339017A4" w:rsidR="00CC77EE" w:rsidRPr="008353CE" w:rsidRDefault="00CC77EE" w:rsidP="00CC77EE">
      <w:pPr>
        <w:pStyle w:val="FootnoteText"/>
      </w:pPr>
      <w:r w:rsidRPr="008353CE">
        <w:rPr>
          <w:rStyle w:val="FootnoteReference"/>
        </w:rPr>
        <w:footnoteRef/>
      </w:r>
      <w:r w:rsidRPr="008353CE">
        <w:t xml:space="preserve"> </w:t>
      </w:r>
      <w:r>
        <w:t xml:space="preserve">Blacks Law; </w:t>
      </w:r>
      <w:r w:rsidRPr="008353CE">
        <w:rPr>
          <w:szCs w:val="24"/>
        </w:rPr>
        <w:t xml:space="preserve">Quoting, Parmeter v. Bourne, 8 Wash. 45, 35 P. 586; Bull v. International Power Co., 84 </w:t>
      </w:r>
      <w:proofErr w:type="spellStart"/>
      <w:r w:rsidRPr="008353CE">
        <w:rPr>
          <w:szCs w:val="24"/>
        </w:rPr>
        <w:t>N.J.Eq</w:t>
      </w:r>
      <w:proofErr w:type="spellEnd"/>
      <w:r w:rsidRPr="008353CE">
        <w:rPr>
          <w:szCs w:val="24"/>
        </w:rPr>
        <w:t>. 209, 93 A. 86, 88.</w:t>
      </w:r>
      <w:r w:rsidR="00360AE5">
        <w:rPr>
          <w:szCs w:val="24"/>
        </w:rPr>
        <w:t xml:space="preserve"> </w:t>
      </w:r>
    </w:p>
  </w:footnote>
  <w:footnote w:id="9">
    <w:p w14:paraId="143CCF48" w14:textId="7D84A02E" w:rsidR="00182361" w:rsidRPr="00360AE5" w:rsidRDefault="00182361" w:rsidP="00182361">
      <w:pPr>
        <w:pStyle w:val="FootnoteText"/>
        <w:rPr>
          <w:b/>
          <w:bCs/>
          <w:sz w:val="18"/>
          <w:szCs w:val="18"/>
        </w:rPr>
      </w:pPr>
      <w:r w:rsidRPr="00A924DB">
        <w:rPr>
          <w:rStyle w:val="FootnoteReference"/>
          <w:sz w:val="18"/>
          <w:szCs w:val="18"/>
        </w:rPr>
        <w:footnoteRef/>
      </w:r>
      <w:r w:rsidRPr="00A924DB">
        <w:rPr>
          <w:sz w:val="18"/>
          <w:szCs w:val="18"/>
        </w:rPr>
        <w:t xml:space="preserve"> NISI PRIUS: is a Latin term (Bouvier</w:t>
      </w:r>
      <w:r w:rsidR="00CC77EE">
        <w:rPr>
          <w:sz w:val="18"/>
          <w:szCs w:val="18"/>
        </w:rPr>
        <w:t>’</w:t>
      </w:r>
      <w:r w:rsidRPr="00A924DB">
        <w:rPr>
          <w:sz w:val="18"/>
          <w:szCs w:val="18"/>
        </w:rPr>
        <w:t xml:space="preserve">s Law) Where courts bearing this name exist in the United States, they are instituted by statutory provision.; </w:t>
      </w:r>
      <w:r w:rsidR="00CC77EE">
        <w:rPr>
          <w:sz w:val="18"/>
          <w:szCs w:val="18"/>
        </w:rPr>
        <w:t>“</w:t>
      </w:r>
      <w:r w:rsidRPr="00A924DB">
        <w:rPr>
          <w:sz w:val="18"/>
          <w:szCs w:val="18"/>
        </w:rPr>
        <w:t>Prius</w:t>
      </w:r>
      <w:r w:rsidR="00CC77EE">
        <w:rPr>
          <w:sz w:val="18"/>
          <w:szCs w:val="18"/>
        </w:rPr>
        <w:t>”</w:t>
      </w:r>
      <w:r w:rsidRPr="00A924DB">
        <w:rPr>
          <w:sz w:val="18"/>
          <w:szCs w:val="18"/>
        </w:rPr>
        <w:t xml:space="preserve"> means </w:t>
      </w:r>
      <w:r w:rsidR="00CC77EE">
        <w:rPr>
          <w:sz w:val="18"/>
          <w:szCs w:val="18"/>
        </w:rPr>
        <w:t>“</w:t>
      </w:r>
      <w:r w:rsidRPr="00A924DB">
        <w:rPr>
          <w:sz w:val="18"/>
          <w:szCs w:val="18"/>
        </w:rPr>
        <w:t>first.</w:t>
      </w:r>
      <w:r w:rsidR="00CC77EE">
        <w:rPr>
          <w:sz w:val="18"/>
          <w:szCs w:val="18"/>
        </w:rPr>
        <w:t>”</w:t>
      </w:r>
      <w:r w:rsidRPr="00A924DB">
        <w:rPr>
          <w:sz w:val="18"/>
          <w:szCs w:val="18"/>
        </w:rPr>
        <w:t xml:space="preserve"> </w:t>
      </w:r>
      <w:r w:rsidR="00CC77EE">
        <w:rPr>
          <w:sz w:val="18"/>
          <w:szCs w:val="18"/>
        </w:rPr>
        <w:t>“</w:t>
      </w:r>
      <w:r w:rsidRPr="00A924DB">
        <w:rPr>
          <w:sz w:val="18"/>
          <w:szCs w:val="18"/>
        </w:rPr>
        <w:t>Nisi</w:t>
      </w:r>
      <w:r w:rsidR="00CC77EE">
        <w:rPr>
          <w:sz w:val="18"/>
          <w:szCs w:val="18"/>
        </w:rPr>
        <w:t>”</w:t>
      </w:r>
      <w:r w:rsidRPr="00A924DB">
        <w:rPr>
          <w:sz w:val="18"/>
          <w:szCs w:val="18"/>
        </w:rPr>
        <w:t xml:space="preserve"> means </w:t>
      </w:r>
      <w:r w:rsidR="00CC77EE">
        <w:rPr>
          <w:sz w:val="18"/>
          <w:szCs w:val="18"/>
        </w:rPr>
        <w:t>“</w:t>
      </w:r>
      <w:r w:rsidRPr="00A924DB">
        <w:rPr>
          <w:sz w:val="18"/>
          <w:szCs w:val="18"/>
        </w:rPr>
        <w:t>unless.</w:t>
      </w:r>
      <w:r w:rsidR="00CC77EE">
        <w:rPr>
          <w:sz w:val="18"/>
          <w:szCs w:val="18"/>
        </w:rPr>
        <w:t>”</w:t>
      </w:r>
      <w:r w:rsidRPr="00A924DB">
        <w:rPr>
          <w:sz w:val="18"/>
          <w:szCs w:val="18"/>
        </w:rPr>
        <w:t xml:space="preserve"> A </w:t>
      </w:r>
      <w:r w:rsidR="00CC77EE">
        <w:rPr>
          <w:sz w:val="18"/>
          <w:szCs w:val="18"/>
        </w:rPr>
        <w:t>“</w:t>
      </w:r>
      <w:r w:rsidRPr="00A924DB">
        <w:rPr>
          <w:sz w:val="18"/>
          <w:szCs w:val="18"/>
        </w:rPr>
        <w:t>nisi prius</w:t>
      </w:r>
      <w:r w:rsidR="00CC77EE">
        <w:rPr>
          <w:sz w:val="18"/>
          <w:szCs w:val="18"/>
        </w:rPr>
        <w:t>”</w:t>
      </w:r>
      <w:r w:rsidRPr="00A924DB">
        <w:rPr>
          <w:sz w:val="18"/>
          <w:szCs w:val="18"/>
        </w:rPr>
        <w:t xml:space="preserve"> procedure is a procedure to which a party FIRST agrees UNLESS he objects.; -</w:t>
      </w:r>
      <w:r w:rsidR="00360AE5">
        <w:rPr>
          <w:sz w:val="18"/>
          <w:szCs w:val="18"/>
        </w:rPr>
        <w:t xml:space="preserve"> </w:t>
      </w:r>
      <w:r w:rsidR="00360AE5">
        <w:rPr>
          <w:rFonts w:cstheme="minorHAnsi"/>
          <w:bCs/>
          <w:sz w:val="18"/>
          <w:szCs w:val="18"/>
        </w:rPr>
        <w:t>Blacks Law;</w:t>
      </w:r>
      <w:r w:rsidRPr="00A924DB">
        <w:rPr>
          <w:sz w:val="18"/>
          <w:szCs w:val="18"/>
        </w:rPr>
        <w:t xml:space="preserve"> A rule of procedure in courts is that if a party fails to object to something, then it means he agrees to it. A nisi procedure is a procedure to which a person has failed to object A </w:t>
      </w:r>
      <w:r w:rsidR="00CC77EE">
        <w:rPr>
          <w:sz w:val="18"/>
          <w:szCs w:val="18"/>
        </w:rPr>
        <w:t>“</w:t>
      </w:r>
      <w:r w:rsidRPr="00A924DB">
        <w:rPr>
          <w:sz w:val="18"/>
          <w:szCs w:val="18"/>
        </w:rPr>
        <w:t>nisi prius court</w:t>
      </w:r>
      <w:r w:rsidR="00CC77EE">
        <w:rPr>
          <w:sz w:val="18"/>
          <w:szCs w:val="18"/>
        </w:rPr>
        <w:t>”</w:t>
      </w:r>
      <w:r w:rsidRPr="00A924DB">
        <w:rPr>
          <w:sz w:val="18"/>
          <w:szCs w:val="18"/>
        </w:rPr>
        <w:t xml:space="preserve"> is a court which will proceed unless a party </w:t>
      </w:r>
      <w:proofErr w:type="gramStart"/>
      <w:r w:rsidRPr="00A924DB">
        <w:rPr>
          <w:sz w:val="18"/>
          <w:szCs w:val="18"/>
        </w:rPr>
        <w:t>objects</w:t>
      </w:r>
      <w:proofErr w:type="gramEnd"/>
      <w:r w:rsidRPr="00A924DB">
        <w:rPr>
          <w:sz w:val="18"/>
          <w:szCs w:val="18"/>
        </w:rPr>
        <w:t>. The agreement to proceed is obtained from the parties first.</w:t>
      </w:r>
      <w:r w:rsidR="00360AE5">
        <w:rPr>
          <w:sz w:val="18"/>
          <w:szCs w:val="18"/>
        </w:rPr>
        <w:t xml:space="preserve"> - </w:t>
      </w:r>
      <w:r w:rsidR="00360AE5">
        <w:rPr>
          <w:rFonts w:cstheme="minorHAnsi"/>
          <w:bCs/>
          <w:sz w:val="18"/>
          <w:szCs w:val="18"/>
        </w:rPr>
        <w:t>Blacks Law.</w:t>
      </w:r>
    </w:p>
  </w:footnote>
  <w:footnote w:id="10">
    <w:p w14:paraId="7BE8C921" w14:textId="1F80F63E" w:rsidR="00182361" w:rsidRPr="00A924DB" w:rsidRDefault="00182361" w:rsidP="00182361">
      <w:pPr>
        <w:spacing w:after="0" w:line="240" w:lineRule="auto"/>
        <w:rPr>
          <w:sz w:val="18"/>
          <w:szCs w:val="18"/>
        </w:rPr>
      </w:pPr>
      <w:r w:rsidRPr="00A924DB">
        <w:rPr>
          <w:rStyle w:val="FootnoteReference"/>
          <w:sz w:val="18"/>
          <w:szCs w:val="18"/>
        </w:rPr>
        <w:footnoteRef/>
      </w:r>
      <w:r w:rsidRPr="00A924DB">
        <w:rPr>
          <w:sz w:val="18"/>
          <w:szCs w:val="18"/>
        </w:rPr>
        <w:t xml:space="preserve"> </w:t>
      </w:r>
      <w:r w:rsidR="00CC77EE">
        <w:rPr>
          <w:sz w:val="18"/>
          <w:szCs w:val="18"/>
        </w:rPr>
        <w:t>“</w:t>
      </w:r>
      <w:r w:rsidRPr="00A924DB">
        <w:rPr>
          <w:sz w:val="18"/>
          <w:szCs w:val="18"/>
        </w:rPr>
        <w:t>No judicial process, whatever form it may assume, can have any lawful authority outside of the limits of the jurisdiction of the court or judge by whom it is issued; and an attempt to enforce it beyond these boundaries is nothing less than lawless violence.</w:t>
      </w:r>
      <w:r w:rsidR="00CC77EE">
        <w:rPr>
          <w:sz w:val="18"/>
          <w:szCs w:val="18"/>
        </w:rPr>
        <w:t>”</w:t>
      </w:r>
      <w:r w:rsidRPr="00A924DB">
        <w:rPr>
          <w:sz w:val="18"/>
          <w:szCs w:val="18"/>
        </w:rPr>
        <w:t xml:space="preserve"> </w:t>
      </w:r>
      <w:r w:rsidR="00360AE5">
        <w:rPr>
          <w:sz w:val="18"/>
          <w:szCs w:val="18"/>
        </w:rPr>
        <w:t xml:space="preserve">- </w:t>
      </w:r>
      <w:r w:rsidR="00360AE5">
        <w:rPr>
          <w:rFonts w:cstheme="minorHAnsi"/>
          <w:bCs/>
          <w:sz w:val="18"/>
          <w:szCs w:val="18"/>
        </w:rPr>
        <w:t xml:space="preserve">Blacks Law; Quoting </w:t>
      </w:r>
      <w:r w:rsidRPr="00A924DB">
        <w:rPr>
          <w:sz w:val="18"/>
          <w:szCs w:val="18"/>
        </w:rPr>
        <w:t>Ableman v. Booth, 21 Howard 506 (1859).</w:t>
      </w:r>
    </w:p>
  </w:footnote>
  <w:footnote w:id="11">
    <w:p w14:paraId="2C78FE3C" w14:textId="09818D25" w:rsidR="00182361" w:rsidRPr="00A924DB" w:rsidRDefault="00182361" w:rsidP="00182361">
      <w:pPr>
        <w:pStyle w:val="FootnoteText"/>
        <w:rPr>
          <w:sz w:val="18"/>
          <w:szCs w:val="18"/>
        </w:rPr>
      </w:pPr>
      <w:r w:rsidRPr="00A924DB">
        <w:rPr>
          <w:rStyle w:val="FootnoteReference"/>
          <w:sz w:val="18"/>
          <w:szCs w:val="18"/>
        </w:rPr>
        <w:footnoteRef/>
      </w:r>
      <w:r w:rsidRPr="00A924DB">
        <w:rPr>
          <w:sz w:val="18"/>
          <w:szCs w:val="18"/>
        </w:rPr>
        <w:t xml:space="preserve"> </w:t>
      </w:r>
      <w:r w:rsidR="00CC77EE">
        <w:rPr>
          <w:sz w:val="18"/>
          <w:szCs w:val="18"/>
        </w:rPr>
        <w:t>“</w:t>
      </w:r>
      <w:r w:rsidRPr="00A924DB">
        <w:rPr>
          <w:sz w:val="18"/>
          <w:szCs w:val="18"/>
        </w:rPr>
        <w:t xml:space="preserve">Once challenged, jurisdiction cannot be </w:t>
      </w:r>
      <w:r w:rsidR="00CC77EE">
        <w:rPr>
          <w:sz w:val="18"/>
          <w:szCs w:val="18"/>
        </w:rPr>
        <w:t>‘</w:t>
      </w:r>
      <w:r w:rsidRPr="00A924DB">
        <w:rPr>
          <w:sz w:val="18"/>
          <w:szCs w:val="18"/>
        </w:rPr>
        <w:t>assumed</w:t>
      </w:r>
      <w:r w:rsidR="00CC77EE">
        <w:rPr>
          <w:sz w:val="18"/>
          <w:szCs w:val="18"/>
        </w:rPr>
        <w:t>’</w:t>
      </w:r>
      <w:r w:rsidRPr="00A924DB">
        <w:rPr>
          <w:sz w:val="18"/>
          <w:szCs w:val="18"/>
        </w:rPr>
        <w:t>, it must be proved to exist.</w:t>
      </w:r>
      <w:r w:rsidR="00CC77EE">
        <w:rPr>
          <w:sz w:val="18"/>
          <w:szCs w:val="18"/>
        </w:rPr>
        <w:t>”</w:t>
      </w:r>
      <w:r w:rsidRPr="00A924DB">
        <w:rPr>
          <w:sz w:val="18"/>
          <w:szCs w:val="18"/>
        </w:rPr>
        <w:t xml:space="preserve"> </w:t>
      </w:r>
      <w:r w:rsidR="00360AE5">
        <w:rPr>
          <w:sz w:val="18"/>
          <w:szCs w:val="18"/>
        </w:rPr>
        <w:t xml:space="preserve">- </w:t>
      </w:r>
      <w:r w:rsidR="00360AE5">
        <w:rPr>
          <w:rFonts w:cstheme="minorHAnsi"/>
          <w:bCs/>
          <w:sz w:val="18"/>
          <w:szCs w:val="18"/>
        </w:rPr>
        <w:t xml:space="preserve">Blacks Law; Quoting </w:t>
      </w:r>
      <w:r w:rsidRPr="00A924DB">
        <w:rPr>
          <w:sz w:val="18"/>
          <w:szCs w:val="18"/>
        </w:rPr>
        <w:t xml:space="preserve">Stuck v. Medical Examiners, 94 Ca2d 751.211 P2s 389 </w:t>
      </w:r>
      <w:r w:rsidR="00CC77EE">
        <w:rPr>
          <w:sz w:val="18"/>
          <w:szCs w:val="18"/>
        </w:rPr>
        <w:t>“</w:t>
      </w:r>
      <w:r w:rsidRPr="00A924DB">
        <w:rPr>
          <w:sz w:val="18"/>
          <w:szCs w:val="18"/>
        </w:rPr>
        <w:t>Jurisdiction, once challenged, cannot be assumed and must be decided.</w:t>
      </w:r>
      <w:r w:rsidR="00CC77EE">
        <w:rPr>
          <w:sz w:val="18"/>
          <w:szCs w:val="18"/>
        </w:rPr>
        <w:t>”</w:t>
      </w:r>
      <w:r w:rsidRPr="00A924DB">
        <w:rPr>
          <w:sz w:val="18"/>
          <w:szCs w:val="18"/>
        </w:rPr>
        <w:t xml:space="preserve"> </w:t>
      </w:r>
      <w:r w:rsidR="00360AE5">
        <w:rPr>
          <w:sz w:val="18"/>
          <w:szCs w:val="18"/>
        </w:rPr>
        <w:t xml:space="preserve">- </w:t>
      </w:r>
      <w:r w:rsidR="00360AE5">
        <w:rPr>
          <w:rFonts w:cstheme="minorHAnsi"/>
          <w:bCs/>
          <w:sz w:val="18"/>
          <w:szCs w:val="18"/>
        </w:rPr>
        <w:t xml:space="preserve">Blacks Law; Quoting </w:t>
      </w:r>
      <w:r w:rsidRPr="00A924DB">
        <w:rPr>
          <w:sz w:val="18"/>
          <w:szCs w:val="18"/>
        </w:rPr>
        <w:t xml:space="preserve">Maine v. Thiboutot, 100 S. Ct. 250] </w:t>
      </w:r>
      <w:r w:rsidR="00CC77EE">
        <w:rPr>
          <w:sz w:val="18"/>
          <w:szCs w:val="18"/>
        </w:rPr>
        <w:t>“</w:t>
      </w:r>
      <w:r w:rsidRPr="00A924DB">
        <w:rPr>
          <w:sz w:val="18"/>
          <w:szCs w:val="18"/>
        </w:rPr>
        <w:t>No sanction can be imposed absent proof of jurisdiction</w:t>
      </w:r>
      <w:r w:rsidR="00CC77EE">
        <w:rPr>
          <w:sz w:val="18"/>
          <w:szCs w:val="18"/>
        </w:rPr>
        <w:t>”</w:t>
      </w:r>
      <w:r w:rsidRPr="00A924DB">
        <w:rPr>
          <w:sz w:val="18"/>
          <w:szCs w:val="18"/>
        </w:rPr>
        <w:t xml:space="preserve"> </w:t>
      </w:r>
      <w:r w:rsidR="00360AE5">
        <w:rPr>
          <w:sz w:val="18"/>
          <w:szCs w:val="18"/>
        </w:rPr>
        <w:t xml:space="preserve">- </w:t>
      </w:r>
      <w:r w:rsidR="00360AE5">
        <w:rPr>
          <w:rFonts w:cstheme="minorHAnsi"/>
          <w:bCs/>
          <w:sz w:val="18"/>
          <w:szCs w:val="18"/>
        </w:rPr>
        <w:t xml:space="preserve">Blacks Law; Quoting </w:t>
      </w:r>
      <w:proofErr w:type="spellStart"/>
      <w:r w:rsidRPr="00A924DB">
        <w:rPr>
          <w:sz w:val="18"/>
          <w:szCs w:val="18"/>
        </w:rPr>
        <w:t>Stanard</w:t>
      </w:r>
      <w:proofErr w:type="spellEnd"/>
      <w:r w:rsidRPr="00A924DB">
        <w:rPr>
          <w:sz w:val="18"/>
          <w:szCs w:val="18"/>
        </w:rPr>
        <w:t xml:space="preserve"> v. Olesen, 74 S. Ct.768] </w:t>
      </w:r>
      <w:r w:rsidR="00CC77EE">
        <w:rPr>
          <w:sz w:val="18"/>
          <w:szCs w:val="18"/>
        </w:rPr>
        <w:t>“</w:t>
      </w:r>
      <w:r w:rsidRPr="00A924DB">
        <w:rPr>
          <w:sz w:val="18"/>
          <w:szCs w:val="18"/>
        </w:rPr>
        <w:t>The law requires proof of jurisdiction to appear on the record of the administrative agency and all administrative proceedings</w:t>
      </w:r>
      <w:r w:rsidR="00CC77EE">
        <w:rPr>
          <w:sz w:val="18"/>
          <w:szCs w:val="18"/>
        </w:rPr>
        <w:t>”</w:t>
      </w:r>
      <w:r w:rsidRPr="00A924DB">
        <w:rPr>
          <w:sz w:val="18"/>
          <w:szCs w:val="18"/>
        </w:rPr>
        <w:t xml:space="preserve"> </w:t>
      </w:r>
      <w:r w:rsidR="00360AE5">
        <w:rPr>
          <w:rFonts w:cstheme="minorHAnsi"/>
          <w:bCs/>
          <w:sz w:val="18"/>
          <w:szCs w:val="18"/>
        </w:rPr>
        <w:t xml:space="preserve">Blacks Law; Quoting </w:t>
      </w:r>
      <w:r w:rsidRPr="00A924DB">
        <w:rPr>
          <w:sz w:val="18"/>
          <w:szCs w:val="18"/>
        </w:rPr>
        <w:t xml:space="preserve">Hagans v. Lavine, 415 U.S. 528] Other cases also such as McNutt v. G.M., 56 S. Ct. 789,80 L. Ed. 1135, Griffin v. Mathews, 310 Supp. 341, 423 F. 2d 272, Basso v. U.P.L., 495 F 2d. 906, Thomson v. </w:t>
      </w:r>
      <w:proofErr w:type="spellStart"/>
      <w:r w:rsidRPr="00A924DB">
        <w:rPr>
          <w:sz w:val="18"/>
          <w:szCs w:val="18"/>
        </w:rPr>
        <w:t>Gaskiel</w:t>
      </w:r>
      <w:proofErr w:type="spellEnd"/>
      <w:r w:rsidRPr="00A924DB">
        <w:rPr>
          <w:sz w:val="18"/>
          <w:szCs w:val="18"/>
        </w:rPr>
        <w:t>, 62 S. Ct. 673, 83 L. Ed. 111, and Albrecht v U.S., 273 U.S. 1, also all confirm, that, when challenged, jurisdiction must be documented, shown, and proven, to lawfully exist before a cause may lawfully proceed in the courts.</w:t>
      </w:r>
    </w:p>
  </w:footnote>
  <w:footnote w:id="12">
    <w:p w14:paraId="38BE1864" w14:textId="674DA1BC" w:rsidR="00182361" w:rsidRPr="00182361" w:rsidRDefault="00182361" w:rsidP="00182361">
      <w:pPr>
        <w:pStyle w:val="FootnoteText"/>
        <w:rPr>
          <w:rFonts w:cstheme="minorHAnsi"/>
          <w:sz w:val="18"/>
          <w:szCs w:val="18"/>
        </w:rPr>
      </w:pPr>
      <w:r w:rsidRPr="00182361">
        <w:rPr>
          <w:rStyle w:val="FootnoteReference"/>
          <w:rFonts w:cstheme="minorHAnsi"/>
          <w:sz w:val="18"/>
          <w:szCs w:val="18"/>
        </w:rPr>
        <w:footnoteRef/>
      </w:r>
      <w:r w:rsidRPr="00182361">
        <w:rPr>
          <w:rFonts w:cstheme="minorHAnsi"/>
          <w:sz w:val="18"/>
          <w:szCs w:val="18"/>
        </w:rPr>
        <w:t xml:space="preserve"> </w:t>
      </w:r>
      <w:r w:rsidR="005A272F">
        <w:rPr>
          <w:rFonts w:cstheme="minorHAnsi"/>
          <w:bCs/>
          <w:sz w:val="18"/>
          <w:szCs w:val="18"/>
        </w:rPr>
        <w:t xml:space="preserve">Blacks Law; Quoting </w:t>
      </w:r>
      <w:r w:rsidRPr="00182361">
        <w:rPr>
          <w:rFonts w:cstheme="minorHAnsi"/>
          <w:sz w:val="18"/>
          <w:szCs w:val="18"/>
        </w:rPr>
        <w:t>Koenig v. Flynn, 258 N.Y. 292, 179 N. E. 705.</w:t>
      </w:r>
    </w:p>
  </w:footnote>
  <w:footnote w:id="13">
    <w:p w14:paraId="6FBA90F0" w14:textId="1C03B800" w:rsidR="00182361" w:rsidRPr="00182361" w:rsidRDefault="00182361" w:rsidP="00182361">
      <w:pPr>
        <w:pStyle w:val="FootnoteText"/>
        <w:rPr>
          <w:rFonts w:cstheme="minorHAnsi"/>
          <w:sz w:val="18"/>
          <w:szCs w:val="18"/>
        </w:rPr>
      </w:pPr>
      <w:r w:rsidRPr="00182361">
        <w:rPr>
          <w:rStyle w:val="FootnoteReference"/>
          <w:rFonts w:cstheme="minorHAnsi"/>
          <w:sz w:val="18"/>
          <w:szCs w:val="18"/>
        </w:rPr>
        <w:footnoteRef/>
      </w:r>
      <w:r w:rsidRPr="00182361">
        <w:rPr>
          <w:rFonts w:cstheme="minorHAnsi"/>
          <w:sz w:val="18"/>
          <w:szCs w:val="18"/>
        </w:rPr>
        <w:t xml:space="preserve"> </w:t>
      </w:r>
      <w:r w:rsidR="005A272F">
        <w:rPr>
          <w:rFonts w:cstheme="minorHAnsi"/>
          <w:sz w:val="18"/>
          <w:szCs w:val="18"/>
        </w:rPr>
        <w:t>U</w:t>
      </w:r>
      <w:r w:rsidRPr="00182361">
        <w:rPr>
          <w:rFonts w:cstheme="minorHAnsi"/>
          <w:sz w:val="18"/>
          <w:szCs w:val="18"/>
        </w:rPr>
        <w:t>nder American Jurisprudence, the principles of common law.</w:t>
      </w:r>
    </w:p>
  </w:footnote>
  <w:footnote w:id="14">
    <w:p w14:paraId="63573482" w14:textId="60B2990B" w:rsidR="00182361" w:rsidRPr="00182361" w:rsidRDefault="00182361" w:rsidP="00182361">
      <w:pPr>
        <w:pStyle w:val="FootnoteText"/>
        <w:rPr>
          <w:rFonts w:cstheme="minorHAnsi"/>
          <w:sz w:val="18"/>
          <w:szCs w:val="18"/>
        </w:rPr>
      </w:pPr>
      <w:r w:rsidRPr="005A272F">
        <w:rPr>
          <w:rStyle w:val="FootnoteReference"/>
          <w:rFonts w:cstheme="minorHAnsi"/>
          <w:bCs/>
          <w:sz w:val="18"/>
          <w:szCs w:val="18"/>
        </w:rPr>
        <w:footnoteRef/>
      </w:r>
      <w:r w:rsidRPr="005A272F">
        <w:rPr>
          <w:rFonts w:cstheme="minorHAnsi"/>
          <w:bCs/>
          <w:sz w:val="18"/>
          <w:szCs w:val="18"/>
        </w:rPr>
        <w:t xml:space="preserve"> COURTS OF RECORD and COURTS NOT OF RECORD – The former being those whose acts and judicial </w:t>
      </w:r>
      <w:r w:rsidRPr="00182361">
        <w:rPr>
          <w:rFonts w:cstheme="minorHAnsi"/>
          <w:sz w:val="18"/>
          <w:szCs w:val="18"/>
        </w:rPr>
        <w:t>proceedings are enrolled, or recorded, for a perpetual memory and testimony, and which have power to fine or imprison for contempt.  Error lies to their judgments, and they generally possess a seal.  Courts not of record are those of inferior dignity, which have no power to fine or imprison, and in which the proceedings are not enrolled or recorded.</w:t>
      </w:r>
      <w:r w:rsidR="005A272F">
        <w:rPr>
          <w:rFonts w:cstheme="minorHAnsi"/>
          <w:sz w:val="18"/>
          <w:szCs w:val="18"/>
        </w:rPr>
        <w:t xml:space="preserve"> -</w:t>
      </w:r>
      <w:r w:rsidR="005A272F" w:rsidRPr="005A272F">
        <w:rPr>
          <w:rFonts w:cstheme="minorHAnsi"/>
          <w:bCs/>
          <w:sz w:val="18"/>
          <w:szCs w:val="18"/>
        </w:rPr>
        <w:t xml:space="preserve"> </w:t>
      </w:r>
      <w:r w:rsidR="005A272F">
        <w:rPr>
          <w:rFonts w:cstheme="minorHAnsi"/>
          <w:bCs/>
          <w:sz w:val="18"/>
          <w:szCs w:val="18"/>
        </w:rPr>
        <w:t xml:space="preserve">Blacks Law; Quoting </w:t>
      </w:r>
      <w:r w:rsidRPr="00182361">
        <w:rPr>
          <w:rFonts w:cstheme="minorHAnsi"/>
          <w:sz w:val="18"/>
          <w:szCs w:val="18"/>
        </w:rPr>
        <w:t xml:space="preserve">3 Bl. Comm. 24; 3 Steph. Comm. 383; The Thomas Fletcher, </w:t>
      </w:r>
      <w:proofErr w:type="spellStart"/>
      <w:r w:rsidRPr="00182361">
        <w:rPr>
          <w:rFonts w:cstheme="minorHAnsi"/>
          <w:sz w:val="18"/>
          <w:szCs w:val="18"/>
        </w:rPr>
        <w:t>C.C.Ga</w:t>
      </w:r>
      <w:proofErr w:type="spellEnd"/>
      <w:r w:rsidRPr="00182361">
        <w:rPr>
          <w:rFonts w:cstheme="minorHAnsi"/>
          <w:sz w:val="18"/>
          <w:szCs w:val="18"/>
        </w:rPr>
        <w:t xml:space="preserve">., 24 F. 481; Ex parte Thistleton, 52 Cal 225; Erwin v. U.S., </w:t>
      </w:r>
      <w:proofErr w:type="spellStart"/>
      <w:r w:rsidRPr="00182361">
        <w:rPr>
          <w:rFonts w:cstheme="minorHAnsi"/>
          <w:sz w:val="18"/>
          <w:szCs w:val="18"/>
        </w:rPr>
        <w:t>D.C.Ga</w:t>
      </w:r>
      <w:proofErr w:type="spellEnd"/>
      <w:r w:rsidRPr="00182361">
        <w:rPr>
          <w:rFonts w:cstheme="minorHAnsi"/>
          <w:sz w:val="18"/>
          <w:szCs w:val="18"/>
        </w:rPr>
        <w:t>., 37 F. 488, 2 L.R.A. 229; Heininger v. Davis, 96 Ohio St. 205, 117 N.E. 229, 231.</w:t>
      </w:r>
    </w:p>
  </w:footnote>
  <w:footnote w:id="15">
    <w:p w14:paraId="238639AB" w14:textId="05DE9762" w:rsidR="00182361" w:rsidRPr="00182361" w:rsidRDefault="00182361" w:rsidP="00182361">
      <w:pPr>
        <w:pStyle w:val="FootnoteText"/>
        <w:rPr>
          <w:rFonts w:cstheme="minorHAnsi"/>
          <w:sz w:val="18"/>
          <w:szCs w:val="18"/>
        </w:rPr>
      </w:pPr>
      <w:r w:rsidRPr="00182361">
        <w:rPr>
          <w:rStyle w:val="FootnoteReference"/>
          <w:rFonts w:cstheme="minorHAnsi"/>
          <w:sz w:val="18"/>
          <w:szCs w:val="18"/>
        </w:rPr>
        <w:footnoteRef/>
      </w:r>
      <w:r w:rsidRPr="00182361">
        <w:rPr>
          <w:rFonts w:cstheme="minorHAnsi"/>
          <w:sz w:val="18"/>
          <w:szCs w:val="18"/>
        </w:rPr>
        <w:t xml:space="preserve"> </w:t>
      </w:r>
      <w:r w:rsidR="00CC77EE">
        <w:rPr>
          <w:rFonts w:cstheme="minorHAnsi"/>
          <w:sz w:val="18"/>
          <w:szCs w:val="18"/>
        </w:rPr>
        <w:t>“</w:t>
      </w:r>
      <w:r w:rsidRPr="00182361">
        <w:rPr>
          <w:rFonts w:cstheme="minorHAnsi"/>
          <w:i/>
          <w:sz w:val="18"/>
          <w:szCs w:val="18"/>
        </w:rPr>
        <w:t>Sovereignty itself is, of course, not subject to law, for it is the author and source of law</w:t>
      </w:r>
      <w:r w:rsidRPr="00182361">
        <w:rPr>
          <w:rFonts w:cstheme="minorHAnsi"/>
          <w:sz w:val="18"/>
          <w:szCs w:val="18"/>
        </w:rPr>
        <w:t>;</w:t>
      </w:r>
      <w:r w:rsidR="00CC77EE">
        <w:rPr>
          <w:rFonts w:cstheme="minorHAnsi"/>
          <w:sz w:val="18"/>
          <w:szCs w:val="18"/>
        </w:rPr>
        <w:t>”</w:t>
      </w:r>
      <w:r w:rsidRPr="00182361">
        <w:rPr>
          <w:rFonts w:cstheme="minorHAnsi"/>
          <w:sz w:val="18"/>
          <w:szCs w:val="18"/>
        </w:rPr>
        <w:t xml:space="preserve"> </w:t>
      </w:r>
      <w:r w:rsidR="005A272F">
        <w:rPr>
          <w:rFonts w:cstheme="minorHAnsi"/>
          <w:bCs/>
          <w:sz w:val="18"/>
          <w:szCs w:val="18"/>
        </w:rPr>
        <w:t>Blacks Law; Quoting</w:t>
      </w:r>
      <w:r w:rsidRPr="00182361">
        <w:rPr>
          <w:rFonts w:cstheme="minorHAnsi"/>
          <w:sz w:val="18"/>
          <w:szCs w:val="18"/>
        </w:rPr>
        <w:t xml:space="preserve"> Yick Wo v. Hopkins, 118 US 356, 370.</w:t>
      </w:r>
    </w:p>
  </w:footnote>
  <w:footnote w:id="16">
    <w:p w14:paraId="6F5F11CF" w14:textId="63F5BD2A" w:rsidR="00182361" w:rsidRPr="00182361" w:rsidRDefault="00182361" w:rsidP="00182361">
      <w:pPr>
        <w:pStyle w:val="FootnoteText"/>
        <w:rPr>
          <w:rFonts w:cstheme="minorHAnsi"/>
          <w:sz w:val="18"/>
          <w:szCs w:val="18"/>
        </w:rPr>
      </w:pPr>
      <w:r w:rsidRPr="00182361">
        <w:rPr>
          <w:rStyle w:val="FootnoteReference"/>
          <w:rFonts w:cstheme="minorHAnsi"/>
          <w:sz w:val="18"/>
          <w:szCs w:val="18"/>
        </w:rPr>
        <w:footnoteRef/>
      </w:r>
      <w:r w:rsidRPr="00182361">
        <w:rPr>
          <w:rFonts w:cstheme="minorHAnsi"/>
          <w:sz w:val="18"/>
          <w:szCs w:val="18"/>
        </w:rPr>
        <w:t xml:space="preserve"> That which is laid down, ordained, or established. </w:t>
      </w:r>
      <w:r w:rsidR="005A272F">
        <w:rPr>
          <w:rFonts w:cstheme="minorHAnsi"/>
          <w:sz w:val="18"/>
          <w:szCs w:val="18"/>
        </w:rPr>
        <w:t xml:space="preserve">- </w:t>
      </w:r>
      <w:r w:rsidR="005A272F">
        <w:rPr>
          <w:rFonts w:cstheme="minorHAnsi"/>
          <w:bCs/>
          <w:sz w:val="18"/>
          <w:szCs w:val="18"/>
        </w:rPr>
        <w:t xml:space="preserve">Blacks Law; Quoting </w:t>
      </w:r>
      <w:r w:rsidRPr="00182361">
        <w:rPr>
          <w:rFonts w:cstheme="minorHAnsi"/>
          <w:sz w:val="18"/>
          <w:szCs w:val="18"/>
        </w:rPr>
        <w:t>Koenig v. Flynn, 258 N.Y. 292, 179 N. E. 705.</w:t>
      </w:r>
    </w:p>
  </w:footnote>
  <w:footnote w:id="17">
    <w:p w14:paraId="2D3B3759" w14:textId="77777777" w:rsidR="00182361" w:rsidRPr="00182361" w:rsidRDefault="00182361" w:rsidP="00182361">
      <w:pPr>
        <w:pStyle w:val="FootnoteText"/>
        <w:rPr>
          <w:rFonts w:cstheme="minorHAnsi"/>
          <w:sz w:val="18"/>
          <w:szCs w:val="18"/>
        </w:rPr>
      </w:pPr>
      <w:r w:rsidRPr="005A272F">
        <w:rPr>
          <w:rStyle w:val="FootnoteReference"/>
          <w:rFonts w:cstheme="minorHAnsi"/>
          <w:bCs/>
          <w:sz w:val="18"/>
          <w:szCs w:val="18"/>
        </w:rPr>
        <w:footnoteRef/>
      </w:r>
      <w:r w:rsidRPr="005A272F">
        <w:rPr>
          <w:rFonts w:cstheme="minorHAnsi"/>
          <w:bCs/>
          <w:sz w:val="18"/>
          <w:szCs w:val="18"/>
        </w:rPr>
        <w:t xml:space="preserve"> PREAMBLE:</w:t>
      </w:r>
      <w:r w:rsidRPr="00182361">
        <w:rPr>
          <w:rFonts w:cstheme="minorHAnsi"/>
          <w:sz w:val="18"/>
          <w:szCs w:val="18"/>
        </w:rPr>
        <w:t xml:space="preserve"> We the people of the United States, in order to form a more perfect union, establish justice, </w:t>
      </w:r>
      <w:proofErr w:type="gramStart"/>
      <w:r w:rsidRPr="00182361">
        <w:rPr>
          <w:rFonts w:cstheme="minorHAnsi"/>
          <w:sz w:val="18"/>
          <w:szCs w:val="18"/>
        </w:rPr>
        <w:t>insure</w:t>
      </w:r>
      <w:proofErr w:type="gramEnd"/>
      <w:r w:rsidRPr="00182361">
        <w:rPr>
          <w:rFonts w:cstheme="minorHAnsi"/>
          <w:sz w:val="18"/>
          <w:szCs w:val="18"/>
        </w:rPr>
        <w:t xml:space="preserve"> domestic tranquility, provide for the common defense, promote the general welfare, and secure the blessings of liberty to ourselves and our posterity, do ordain and establish this Constitution for the United States of America.</w:t>
      </w:r>
    </w:p>
  </w:footnote>
  <w:footnote w:id="18">
    <w:p w14:paraId="53C722A1" w14:textId="77777777" w:rsidR="00182361" w:rsidRPr="00182361" w:rsidRDefault="00182361" w:rsidP="00182361">
      <w:pPr>
        <w:pStyle w:val="FootnoteText"/>
        <w:rPr>
          <w:rFonts w:cstheme="minorHAnsi"/>
          <w:sz w:val="18"/>
          <w:szCs w:val="18"/>
        </w:rPr>
      </w:pPr>
      <w:r w:rsidRPr="005A272F">
        <w:rPr>
          <w:rStyle w:val="FootnoteReference"/>
          <w:rFonts w:cstheme="minorHAnsi"/>
          <w:bCs/>
          <w:sz w:val="18"/>
          <w:szCs w:val="18"/>
        </w:rPr>
        <w:footnoteRef/>
      </w:r>
      <w:r w:rsidRPr="005A272F">
        <w:rPr>
          <w:rFonts w:cstheme="minorHAnsi"/>
          <w:bCs/>
          <w:sz w:val="18"/>
          <w:szCs w:val="18"/>
        </w:rPr>
        <w:t xml:space="preserve"> Article I Section 1:</w:t>
      </w:r>
      <w:r w:rsidRPr="00182361">
        <w:rPr>
          <w:rFonts w:cstheme="minorHAnsi"/>
          <w:sz w:val="18"/>
          <w:szCs w:val="18"/>
        </w:rPr>
        <w:t xml:space="preserve"> All legislative powers herein granted shall be vested in a Congress of the United States, which shall consist of a Senate and House of Representatives; Article I Section 8 Clause 18: Congress shall have power to make all laws which shall be necessary and proper for carrying into execution the foregoing powers, and all other powers vested by this Constitution in the government of the United States, or in any department or officer thereof.</w:t>
      </w:r>
    </w:p>
  </w:footnote>
  <w:footnote w:id="19">
    <w:p w14:paraId="19885767" w14:textId="77777777" w:rsidR="00182361" w:rsidRPr="00182361" w:rsidRDefault="00182361" w:rsidP="00182361">
      <w:pPr>
        <w:pStyle w:val="FootnoteText"/>
        <w:rPr>
          <w:rFonts w:cstheme="minorHAnsi"/>
          <w:sz w:val="18"/>
          <w:szCs w:val="18"/>
        </w:rPr>
      </w:pPr>
      <w:r w:rsidRPr="00182361">
        <w:rPr>
          <w:rStyle w:val="FootnoteReference"/>
          <w:rFonts w:cstheme="minorHAnsi"/>
          <w:sz w:val="18"/>
          <w:szCs w:val="18"/>
        </w:rPr>
        <w:footnoteRef/>
      </w:r>
      <w:r w:rsidRPr="00182361">
        <w:rPr>
          <w:rFonts w:cstheme="minorHAnsi"/>
          <w:sz w:val="18"/>
          <w:szCs w:val="18"/>
        </w:rPr>
        <w:t xml:space="preserve"> Declaration of Independence.</w:t>
      </w:r>
    </w:p>
  </w:footnote>
  <w:footnote w:id="20">
    <w:p w14:paraId="1E8DC6E3" w14:textId="6566CF85" w:rsidR="00182361" w:rsidRPr="00182361" w:rsidRDefault="00182361" w:rsidP="00182361">
      <w:pPr>
        <w:pStyle w:val="FootnoteText"/>
        <w:rPr>
          <w:rFonts w:cstheme="minorHAnsi"/>
          <w:sz w:val="18"/>
          <w:szCs w:val="18"/>
        </w:rPr>
      </w:pPr>
      <w:r w:rsidRPr="00182361">
        <w:rPr>
          <w:rStyle w:val="FootnoteReference"/>
          <w:rFonts w:cstheme="minorHAnsi"/>
          <w:sz w:val="18"/>
          <w:szCs w:val="18"/>
        </w:rPr>
        <w:footnoteRef/>
      </w:r>
      <w:r w:rsidRPr="00182361">
        <w:rPr>
          <w:rFonts w:cstheme="minorHAnsi"/>
          <w:sz w:val="18"/>
          <w:szCs w:val="18"/>
        </w:rPr>
        <w:t xml:space="preserve"> </w:t>
      </w:r>
      <w:r w:rsidR="005A272F">
        <w:rPr>
          <w:rFonts w:cstheme="minorHAnsi"/>
          <w:bCs/>
          <w:sz w:val="18"/>
          <w:szCs w:val="18"/>
        </w:rPr>
        <w:t xml:space="preserve">Blacks Law; Quoting </w:t>
      </w:r>
      <w:r w:rsidRPr="00182361">
        <w:rPr>
          <w:rFonts w:cstheme="minorHAnsi"/>
          <w:sz w:val="18"/>
          <w:szCs w:val="18"/>
        </w:rPr>
        <w:t>Rodriques v. Ray Donavan (U.S. Department of Labor) 769 F. 2d 1344, 1348 (1985).</w:t>
      </w:r>
    </w:p>
  </w:footnote>
  <w:footnote w:id="21">
    <w:p w14:paraId="4013BC58" w14:textId="77777777" w:rsidR="00182361" w:rsidRPr="00182361" w:rsidRDefault="00182361" w:rsidP="00182361">
      <w:pPr>
        <w:pStyle w:val="FootnoteText"/>
        <w:rPr>
          <w:rFonts w:cstheme="minorHAnsi"/>
          <w:sz w:val="18"/>
          <w:szCs w:val="18"/>
        </w:rPr>
      </w:pPr>
      <w:r w:rsidRPr="00182361">
        <w:rPr>
          <w:rStyle w:val="FootnoteReference"/>
          <w:rFonts w:cstheme="minorHAnsi"/>
          <w:sz w:val="18"/>
          <w:szCs w:val="18"/>
        </w:rPr>
        <w:footnoteRef/>
      </w:r>
      <w:r w:rsidRPr="00182361">
        <w:rPr>
          <w:rFonts w:cstheme="minorHAnsi"/>
          <w:sz w:val="18"/>
          <w:szCs w:val="18"/>
        </w:rPr>
        <w:t xml:space="preserve"> </w:t>
      </w:r>
      <w:proofErr w:type="gramStart"/>
      <w:r w:rsidRPr="00182361">
        <w:rPr>
          <w:rFonts w:cstheme="minorHAnsi"/>
          <w:sz w:val="18"/>
          <w:szCs w:val="18"/>
        </w:rPr>
        <w:t>Blacks</w:t>
      </w:r>
      <w:proofErr w:type="gramEnd"/>
      <w:r w:rsidRPr="00182361">
        <w:rPr>
          <w:rFonts w:cstheme="minorHAnsi"/>
          <w:sz w:val="18"/>
          <w:szCs w:val="18"/>
        </w:rPr>
        <w:t xml:space="preserve"> 4</w:t>
      </w:r>
      <w:r w:rsidRPr="00182361">
        <w:rPr>
          <w:rFonts w:cstheme="minorHAnsi"/>
          <w:sz w:val="18"/>
          <w:szCs w:val="18"/>
          <w:vertAlign w:val="superscript"/>
        </w:rPr>
        <w:t>th</w:t>
      </w:r>
      <w:r w:rsidRPr="00182361">
        <w:rPr>
          <w:rFonts w:cstheme="minorHAnsi"/>
          <w:sz w:val="18"/>
          <w:szCs w:val="18"/>
        </w:rPr>
        <w:t xml:space="preserve"> At Law.</w:t>
      </w:r>
    </w:p>
  </w:footnote>
  <w:footnote w:id="22">
    <w:p w14:paraId="502D598E" w14:textId="77777777" w:rsidR="00182361" w:rsidRPr="00182361" w:rsidRDefault="00182361" w:rsidP="00182361">
      <w:pPr>
        <w:pStyle w:val="FootnoteText"/>
        <w:rPr>
          <w:rFonts w:cstheme="minorHAnsi"/>
          <w:sz w:val="18"/>
          <w:szCs w:val="18"/>
        </w:rPr>
      </w:pPr>
      <w:r w:rsidRPr="00182361">
        <w:rPr>
          <w:rStyle w:val="FootnoteReference"/>
          <w:rFonts w:cstheme="minorHAnsi"/>
          <w:sz w:val="18"/>
          <w:szCs w:val="18"/>
        </w:rPr>
        <w:footnoteRef/>
      </w:r>
      <w:r w:rsidRPr="00182361">
        <w:rPr>
          <w:rFonts w:cstheme="minorHAnsi"/>
          <w:sz w:val="18"/>
          <w:szCs w:val="18"/>
        </w:rPr>
        <w:t xml:space="preserve"> Marbury v. Madison, 5th US (2 </w:t>
      </w:r>
      <w:proofErr w:type="spellStart"/>
      <w:r w:rsidRPr="00182361">
        <w:rPr>
          <w:rFonts w:cstheme="minorHAnsi"/>
          <w:sz w:val="18"/>
          <w:szCs w:val="18"/>
        </w:rPr>
        <w:t>Cranch</w:t>
      </w:r>
      <w:proofErr w:type="spellEnd"/>
      <w:r w:rsidRPr="00182361">
        <w:rPr>
          <w:rFonts w:cstheme="minorHAnsi"/>
          <w:sz w:val="18"/>
          <w:szCs w:val="18"/>
        </w:rPr>
        <w:t>) 137, 180.</w:t>
      </w:r>
    </w:p>
  </w:footnote>
  <w:footnote w:id="23">
    <w:p w14:paraId="76D17167" w14:textId="603FE152" w:rsidR="00182361" w:rsidRPr="00182361" w:rsidRDefault="00182361" w:rsidP="00182361">
      <w:pPr>
        <w:pStyle w:val="FootnoteText"/>
        <w:rPr>
          <w:sz w:val="18"/>
          <w:szCs w:val="18"/>
        </w:rPr>
      </w:pPr>
      <w:r w:rsidRPr="005A272F">
        <w:rPr>
          <w:rStyle w:val="FootnoteReference"/>
          <w:bCs/>
          <w:sz w:val="18"/>
          <w:szCs w:val="18"/>
        </w:rPr>
        <w:footnoteRef/>
      </w:r>
      <w:r w:rsidRPr="005A272F">
        <w:rPr>
          <w:bCs/>
          <w:sz w:val="18"/>
          <w:szCs w:val="18"/>
        </w:rPr>
        <w:t xml:space="preserve"> Summary proceeding: </w:t>
      </w:r>
      <w:r w:rsidRPr="00182361">
        <w:rPr>
          <w:sz w:val="18"/>
          <w:szCs w:val="18"/>
        </w:rPr>
        <w:t xml:space="preserve">Any proceeding by which a controversy is settled, case disposed of, or trial conducted, in a prompt and simple manner, without the aid of a jury, without presentment or indictment, or in other respects out of the regular course of the common law. </w:t>
      </w:r>
      <w:r w:rsidR="00FD452F">
        <w:rPr>
          <w:sz w:val="18"/>
          <w:szCs w:val="18"/>
        </w:rPr>
        <w:t xml:space="preserve">- </w:t>
      </w:r>
      <w:r w:rsidR="00FD452F">
        <w:rPr>
          <w:rFonts w:cstheme="minorHAnsi"/>
          <w:bCs/>
          <w:sz w:val="18"/>
          <w:szCs w:val="18"/>
        </w:rPr>
        <w:t xml:space="preserve">Blacks Law; Quoting </w:t>
      </w:r>
      <w:r w:rsidRPr="00182361">
        <w:rPr>
          <w:sz w:val="18"/>
          <w:szCs w:val="18"/>
        </w:rPr>
        <w:t>Sweet see Phillips v. Phillips, 8 N.J.L. 122.</w:t>
      </w:r>
    </w:p>
  </w:footnote>
  <w:footnote w:id="24">
    <w:p w14:paraId="5BF86DEF" w14:textId="0BFB7A2E" w:rsidR="00182361" w:rsidRPr="005A272F" w:rsidRDefault="00182361" w:rsidP="00182361">
      <w:pPr>
        <w:pStyle w:val="FootnoteText"/>
        <w:rPr>
          <w:bCs/>
          <w:sz w:val="18"/>
          <w:szCs w:val="18"/>
        </w:rPr>
      </w:pPr>
      <w:r w:rsidRPr="005A272F">
        <w:rPr>
          <w:rStyle w:val="FootnoteReference"/>
          <w:bCs/>
          <w:sz w:val="18"/>
          <w:szCs w:val="18"/>
        </w:rPr>
        <w:footnoteRef/>
      </w:r>
      <w:r w:rsidRPr="005A272F">
        <w:rPr>
          <w:bCs/>
          <w:sz w:val="18"/>
          <w:szCs w:val="18"/>
        </w:rPr>
        <w:t xml:space="preserve"> NISI PRIUS: is a Latin term (Bouvier</w:t>
      </w:r>
      <w:r w:rsidR="00CC77EE" w:rsidRPr="005A272F">
        <w:rPr>
          <w:bCs/>
          <w:sz w:val="18"/>
          <w:szCs w:val="18"/>
        </w:rPr>
        <w:t>’</w:t>
      </w:r>
      <w:r w:rsidRPr="005A272F">
        <w:rPr>
          <w:bCs/>
          <w:sz w:val="18"/>
          <w:szCs w:val="18"/>
        </w:rPr>
        <w:t>s Law) Where courts bearing this name exist in the United States, they are instituted by statutory provision.; Black</w:t>
      </w:r>
      <w:r w:rsidR="00CC77EE" w:rsidRPr="005A272F">
        <w:rPr>
          <w:bCs/>
          <w:sz w:val="18"/>
          <w:szCs w:val="18"/>
        </w:rPr>
        <w:t>’</w:t>
      </w:r>
      <w:r w:rsidRPr="005A272F">
        <w:rPr>
          <w:bCs/>
          <w:sz w:val="18"/>
          <w:szCs w:val="18"/>
        </w:rPr>
        <w:t xml:space="preserve">s 5th </w:t>
      </w:r>
      <w:r w:rsidR="00CC77EE" w:rsidRPr="005A272F">
        <w:rPr>
          <w:bCs/>
          <w:sz w:val="18"/>
          <w:szCs w:val="18"/>
        </w:rPr>
        <w:t>“</w:t>
      </w:r>
      <w:r w:rsidRPr="005A272F">
        <w:rPr>
          <w:bCs/>
          <w:sz w:val="18"/>
          <w:szCs w:val="18"/>
        </w:rPr>
        <w:t>Prius</w:t>
      </w:r>
      <w:r w:rsidR="00CC77EE" w:rsidRPr="005A272F">
        <w:rPr>
          <w:bCs/>
          <w:sz w:val="18"/>
          <w:szCs w:val="18"/>
        </w:rPr>
        <w:t>”</w:t>
      </w:r>
      <w:r w:rsidRPr="005A272F">
        <w:rPr>
          <w:bCs/>
          <w:sz w:val="18"/>
          <w:szCs w:val="18"/>
        </w:rPr>
        <w:t xml:space="preserve"> means </w:t>
      </w:r>
      <w:r w:rsidR="00CC77EE" w:rsidRPr="005A272F">
        <w:rPr>
          <w:bCs/>
          <w:sz w:val="18"/>
          <w:szCs w:val="18"/>
        </w:rPr>
        <w:t>“</w:t>
      </w:r>
      <w:r w:rsidRPr="005A272F">
        <w:rPr>
          <w:bCs/>
          <w:sz w:val="18"/>
          <w:szCs w:val="18"/>
        </w:rPr>
        <w:t>first.</w:t>
      </w:r>
      <w:r w:rsidR="00CC77EE" w:rsidRPr="005A272F">
        <w:rPr>
          <w:bCs/>
          <w:sz w:val="18"/>
          <w:szCs w:val="18"/>
        </w:rPr>
        <w:t>”</w:t>
      </w:r>
      <w:r w:rsidRPr="005A272F">
        <w:rPr>
          <w:bCs/>
          <w:sz w:val="18"/>
          <w:szCs w:val="18"/>
        </w:rPr>
        <w:t xml:space="preserve"> </w:t>
      </w:r>
      <w:r w:rsidR="00CC77EE" w:rsidRPr="005A272F">
        <w:rPr>
          <w:bCs/>
          <w:sz w:val="18"/>
          <w:szCs w:val="18"/>
        </w:rPr>
        <w:t>“</w:t>
      </w:r>
      <w:r w:rsidRPr="005A272F">
        <w:rPr>
          <w:bCs/>
          <w:sz w:val="18"/>
          <w:szCs w:val="18"/>
        </w:rPr>
        <w:t>Nisi</w:t>
      </w:r>
      <w:r w:rsidR="00CC77EE" w:rsidRPr="005A272F">
        <w:rPr>
          <w:bCs/>
          <w:sz w:val="18"/>
          <w:szCs w:val="18"/>
        </w:rPr>
        <w:t>”</w:t>
      </w:r>
      <w:r w:rsidRPr="005A272F">
        <w:rPr>
          <w:bCs/>
          <w:sz w:val="18"/>
          <w:szCs w:val="18"/>
        </w:rPr>
        <w:t xml:space="preserve"> means </w:t>
      </w:r>
      <w:r w:rsidR="00CC77EE" w:rsidRPr="005A272F">
        <w:rPr>
          <w:bCs/>
          <w:sz w:val="18"/>
          <w:szCs w:val="18"/>
        </w:rPr>
        <w:t>“</w:t>
      </w:r>
      <w:r w:rsidRPr="005A272F">
        <w:rPr>
          <w:bCs/>
          <w:sz w:val="18"/>
          <w:szCs w:val="18"/>
        </w:rPr>
        <w:t>unless.</w:t>
      </w:r>
      <w:r w:rsidR="00CC77EE" w:rsidRPr="005A272F">
        <w:rPr>
          <w:bCs/>
          <w:sz w:val="18"/>
          <w:szCs w:val="18"/>
        </w:rPr>
        <w:t>”</w:t>
      </w:r>
      <w:r w:rsidRPr="005A272F">
        <w:rPr>
          <w:bCs/>
          <w:sz w:val="18"/>
          <w:szCs w:val="18"/>
        </w:rPr>
        <w:t xml:space="preserve"> A </w:t>
      </w:r>
      <w:r w:rsidR="00CC77EE" w:rsidRPr="005A272F">
        <w:rPr>
          <w:bCs/>
          <w:sz w:val="18"/>
          <w:szCs w:val="18"/>
        </w:rPr>
        <w:t>“</w:t>
      </w:r>
      <w:r w:rsidRPr="005A272F">
        <w:rPr>
          <w:bCs/>
          <w:sz w:val="18"/>
          <w:szCs w:val="18"/>
        </w:rPr>
        <w:t>nisi prius</w:t>
      </w:r>
      <w:r w:rsidR="00CC77EE" w:rsidRPr="005A272F">
        <w:rPr>
          <w:bCs/>
          <w:sz w:val="18"/>
          <w:szCs w:val="18"/>
        </w:rPr>
        <w:t>”</w:t>
      </w:r>
      <w:r w:rsidRPr="005A272F">
        <w:rPr>
          <w:bCs/>
          <w:sz w:val="18"/>
          <w:szCs w:val="18"/>
        </w:rPr>
        <w:t xml:space="preserve"> procedure is a procedure to which a party FIRST agrees UNLESS he objects.</w:t>
      </w:r>
    </w:p>
  </w:footnote>
  <w:footnote w:id="25">
    <w:p w14:paraId="649E4ADB" w14:textId="77777777" w:rsidR="00182361" w:rsidRPr="005A272F" w:rsidRDefault="00182361" w:rsidP="00182361">
      <w:pPr>
        <w:pStyle w:val="FootnoteText"/>
        <w:rPr>
          <w:bCs/>
          <w:sz w:val="18"/>
          <w:szCs w:val="18"/>
        </w:rPr>
      </w:pPr>
      <w:r w:rsidRPr="005A272F">
        <w:rPr>
          <w:rStyle w:val="FootnoteReference"/>
          <w:bCs/>
          <w:sz w:val="18"/>
          <w:szCs w:val="18"/>
        </w:rPr>
        <w:footnoteRef/>
      </w:r>
      <w:r w:rsidRPr="005A272F">
        <w:rPr>
          <w:bCs/>
          <w:sz w:val="18"/>
          <w:szCs w:val="18"/>
        </w:rPr>
        <w:t xml:space="preserve"> Whose client is inferred?</w:t>
      </w:r>
    </w:p>
  </w:footnote>
  <w:footnote w:id="26">
    <w:p w14:paraId="27AA9604" w14:textId="176D7F34" w:rsidR="00182361" w:rsidRPr="005A272F" w:rsidRDefault="00182361" w:rsidP="00182361">
      <w:pPr>
        <w:pStyle w:val="FootnoteText"/>
        <w:rPr>
          <w:bCs/>
          <w:sz w:val="18"/>
          <w:szCs w:val="18"/>
        </w:rPr>
      </w:pPr>
      <w:r w:rsidRPr="005A272F">
        <w:rPr>
          <w:rStyle w:val="FootnoteReference"/>
          <w:bCs/>
          <w:sz w:val="18"/>
          <w:szCs w:val="18"/>
        </w:rPr>
        <w:footnoteRef/>
      </w:r>
      <w:r w:rsidRPr="005A272F">
        <w:rPr>
          <w:bCs/>
          <w:sz w:val="18"/>
          <w:szCs w:val="18"/>
        </w:rPr>
        <w:t xml:space="preserve"> COMMERCIAL LAW: Black</w:t>
      </w:r>
      <w:r w:rsidR="00CC77EE" w:rsidRPr="005A272F">
        <w:rPr>
          <w:bCs/>
          <w:sz w:val="18"/>
          <w:szCs w:val="18"/>
        </w:rPr>
        <w:t>’</w:t>
      </w:r>
      <w:r w:rsidRPr="005A272F">
        <w:rPr>
          <w:bCs/>
          <w:sz w:val="18"/>
          <w:szCs w:val="18"/>
        </w:rPr>
        <w:t>s Law</w:t>
      </w:r>
      <w:r w:rsidR="00FD452F">
        <w:rPr>
          <w:bCs/>
          <w:sz w:val="18"/>
          <w:szCs w:val="18"/>
        </w:rPr>
        <w:t>:</w:t>
      </w:r>
      <w:r w:rsidRPr="005A272F">
        <w:rPr>
          <w:bCs/>
          <w:sz w:val="18"/>
          <w:szCs w:val="18"/>
        </w:rPr>
        <w:t xml:space="preserve"> A phrase used to designate the whole body of substantive jurisprudence applicable to the rights, intercourse, and relations of persons engaged in commerce, trade, or mercantile pursuits. It is not a very scientific or ac-curate term. As foreign commerce is carried on by means of shipping, the term has come to be used occasionally as synonymous with </w:t>
      </w:r>
      <w:r w:rsidR="00CC77EE" w:rsidRPr="005A272F">
        <w:rPr>
          <w:bCs/>
          <w:sz w:val="18"/>
          <w:szCs w:val="18"/>
        </w:rPr>
        <w:t>“</w:t>
      </w:r>
      <w:r w:rsidRPr="005A272F">
        <w:rPr>
          <w:bCs/>
          <w:sz w:val="18"/>
          <w:szCs w:val="18"/>
        </w:rPr>
        <w:t>maritime law;</w:t>
      </w:r>
      <w:r w:rsidR="00CC77EE" w:rsidRPr="005A272F">
        <w:rPr>
          <w:bCs/>
          <w:sz w:val="18"/>
          <w:szCs w:val="18"/>
        </w:rPr>
        <w:t>”</w:t>
      </w:r>
      <w:r w:rsidRPr="005A272F">
        <w:rPr>
          <w:bCs/>
          <w:sz w:val="18"/>
          <w:szCs w:val="18"/>
        </w:rPr>
        <w:t xml:space="preserve"> but, in strictness, the phrase </w:t>
      </w:r>
      <w:r w:rsidR="00CC77EE" w:rsidRPr="005A272F">
        <w:rPr>
          <w:bCs/>
          <w:sz w:val="18"/>
          <w:szCs w:val="18"/>
        </w:rPr>
        <w:t>“</w:t>
      </w:r>
      <w:r w:rsidRPr="005A272F">
        <w:rPr>
          <w:bCs/>
          <w:sz w:val="18"/>
          <w:szCs w:val="18"/>
        </w:rPr>
        <w:t>commercial law</w:t>
      </w:r>
      <w:r w:rsidR="00CC77EE" w:rsidRPr="005A272F">
        <w:rPr>
          <w:bCs/>
          <w:sz w:val="18"/>
          <w:szCs w:val="18"/>
        </w:rPr>
        <w:t>”</w:t>
      </w:r>
      <w:r w:rsidRPr="005A272F">
        <w:rPr>
          <w:bCs/>
          <w:sz w:val="18"/>
          <w:szCs w:val="18"/>
        </w:rPr>
        <w:t xml:space="preserve"> is wider, and includes many transactions or legal questions which have nothing to do with shipping or its incidents. - </w:t>
      </w:r>
      <w:r w:rsidR="00FD452F">
        <w:rPr>
          <w:rFonts w:cstheme="minorHAnsi"/>
          <w:bCs/>
          <w:sz w:val="18"/>
          <w:szCs w:val="18"/>
        </w:rPr>
        <w:t xml:space="preserve">Blacks Law; Quoting </w:t>
      </w:r>
      <w:r w:rsidRPr="005A272F">
        <w:rPr>
          <w:bCs/>
          <w:sz w:val="18"/>
          <w:szCs w:val="18"/>
        </w:rPr>
        <w:t xml:space="preserve">Watson v. Tarpley, 18 How. 521, 15 </w:t>
      </w:r>
      <w:proofErr w:type="spellStart"/>
      <w:r w:rsidRPr="005A272F">
        <w:rPr>
          <w:bCs/>
          <w:sz w:val="18"/>
          <w:szCs w:val="18"/>
        </w:rPr>
        <w:t>L.Ed</w:t>
      </w:r>
      <w:proofErr w:type="spellEnd"/>
      <w:r w:rsidRPr="005A272F">
        <w:rPr>
          <w:bCs/>
          <w:sz w:val="18"/>
          <w:szCs w:val="18"/>
        </w:rPr>
        <w:t xml:space="preserve">. 509; Williams v. Gold Hill Min. Co., </w:t>
      </w:r>
      <w:proofErr w:type="spellStart"/>
      <w:r w:rsidRPr="005A272F">
        <w:rPr>
          <w:bCs/>
          <w:sz w:val="18"/>
          <w:szCs w:val="18"/>
        </w:rPr>
        <w:t>C.C.Cal</w:t>
      </w:r>
      <w:proofErr w:type="spellEnd"/>
      <w:r w:rsidRPr="005A272F">
        <w:rPr>
          <w:bCs/>
          <w:sz w:val="18"/>
          <w:szCs w:val="18"/>
        </w:rPr>
        <w:t>., 96 F. 464.</w:t>
      </w:r>
    </w:p>
  </w:footnote>
  <w:footnote w:id="27">
    <w:p w14:paraId="5649E4DA" w14:textId="76EFAA09" w:rsidR="00182361" w:rsidRPr="005A272F" w:rsidRDefault="00182361" w:rsidP="00182361">
      <w:pPr>
        <w:pStyle w:val="FootnoteText"/>
        <w:rPr>
          <w:bCs/>
          <w:sz w:val="18"/>
          <w:szCs w:val="18"/>
        </w:rPr>
      </w:pPr>
      <w:r w:rsidRPr="005A272F">
        <w:rPr>
          <w:rStyle w:val="FootnoteReference"/>
          <w:bCs/>
          <w:sz w:val="18"/>
          <w:szCs w:val="18"/>
        </w:rPr>
        <w:footnoteRef/>
      </w:r>
      <w:r w:rsidRPr="005A272F">
        <w:rPr>
          <w:bCs/>
          <w:sz w:val="18"/>
          <w:szCs w:val="18"/>
        </w:rPr>
        <w:t xml:space="preserve"> </w:t>
      </w:r>
      <w:r w:rsidRPr="005A272F">
        <w:rPr>
          <w:rFonts w:cs="Times New Roman"/>
          <w:bCs/>
          <w:sz w:val="18"/>
          <w:szCs w:val="18"/>
        </w:rPr>
        <w:t>Article 30 - NY Vehicle and Traffic Law S 1180: Basic rule and maximum limits. (a) No person shall drive a vehicle at a speed greater than is reasonable and prudent under the conditions and having regard to the actual and potential hazards then existing.</w:t>
      </w:r>
    </w:p>
  </w:footnote>
  <w:footnote w:id="28">
    <w:p w14:paraId="6CF435B1" w14:textId="69629D89" w:rsidR="00FD452F" w:rsidRPr="00FD452F" w:rsidRDefault="00FD452F">
      <w:pPr>
        <w:pStyle w:val="FootnoteText"/>
        <w:rPr>
          <w:sz w:val="18"/>
          <w:szCs w:val="18"/>
        </w:rPr>
      </w:pPr>
      <w:r w:rsidRPr="00FD452F">
        <w:rPr>
          <w:rStyle w:val="FootnoteReference"/>
          <w:sz w:val="18"/>
          <w:szCs w:val="18"/>
        </w:rPr>
        <w:footnoteRef/>
      </w:r>
      <w:r w:rsidRPr="00FD452F">
        <w:rPr>
          <w:sz w:val="18"/>
          <w:szCs w:val="18"/>
        </w:rPr>
        <w:t xml:space="preserve"> </w:t>
      </w:r>
      <w:r>
        <w:rPr>
          <w:rFonts w:cstheme="minorHAnsi"/>
          <w:bCs/>
          <w:sz w:val="18"/>
          <w:szCs w:val="18"/>
        </w:rPr>
        <w:t xml:space="preserve">Blacks Law; Quoting </w:t>
      </w:r>
      <w:r w:rsidRPr="00FD452F">
        <w:rPr>
          <w:rFonts w:cs="Times New Roman"/>
          <w:sz w:val="18"/>
          <w:szCs w:val="18"/>
        </w:rPr>
        <w:t>Ex parte Watkins, 3 Pet., at 202-203. - SCHNECKLOTH v. BUSTAMONTE, 412 U.S. 218, 255 (1973)</w:t>
      </w:r>
    </w:p>
  </w:footnote>
  <w:footnote w:id="29">
    <w:p w14:paraId="6BDD7162" w14:textId="333937FA" w:rsidR="00182361" w:rsidRPr="005A272F" w:rsidRDefault="00182361" w:rsidP="00182361">
      <w:pPr>
        <w:pStyle w:val="FootnoteText"/>
        <w:rPr>
          <w:bCs/>
          <w:sz w:val="18"/>
          <w:szCs w:val="18"/>
        </w:rPr>
      </w:pPr>
      <w:r w:rsidRPr="005A272F">
        <w:rPr>
          <w:rStyle w:val="FootnoteReference"/>
          <w:bCs/>
          <w:sz w:val="18"/>
          <w:szCs w:val="18"/>
        </w:rPr>
        <w:footnoteRef/>
      </w:r>
      <w:r w:rsidRPr="005A272F">
        <w:rPr>
          <w:bCs/>
          <w:sz w:val="18"/>
          <w:szCs w:val="18"/>
        </w:rPr>
        <w:t xml:space="preserve"> NY Constitution Article VI Section 1a: There shall be a unified court system for the state. The state-wide courts shall consist of the court of appeals, the supreme court including the appellate divisions thereof, the court of claims, the county court, the surrogate</w:t>
      </w:r>
      <w:r w:rsidR="00CC77EE" w:rsidRPr="005A272F">
        <w:rPr>
          <w:bCs/>
          <w:sz w:val="18"/>
          <w:szCs w:val="18"/>
        </w:rPr>
        <w:t>’</w:t>
      </w:r>
      <w:r w:rsidRPr="005A272F">
        <w:rPr>
          <w:bCs/>
          <w:sz w:val="18"/>
          <w:szCs w:val="18"/>
        </w:rPr>
        <w:t>s court and the family court, as hereinafter provided.</w:t>
      </w:r>
    </w:p>
  </w:footnote>
  <w:footnote w:id="30">
    <w:p w14:paraId="2953B5EA" w14:textId="42247448" w:rsidR="00182361" w:rsidRPr="005A272F" w:rsidRDefault="00182361" w:rsidP="00182361">
      <w:pPr>
        <w:spacing w:after="0" w:line="240" w:lineRule="auto"/>
        <w:rPr>
          <w:bCs/>
          <w:sz w:val="18"/>
          <w:szCs w:val="18"/>
        </w:rPr>
      </w:pPr>
      <w:r w:rsidRPr="005A272F">
        <w:rPr>
          <w:rStyle w:val="FootnoteReference"/>
          <w:bCs/>
          <w:sz w:val="18"/>
          <w:szCs w:val="18"/>
        </w:rPr>
        <w:footnoteRef/>
      </w:r>
      <w:r w:rsidRPr="005A272F">
        <w:rPr>
          <w:bCs/>
          <w:sz w:val="18"/>
          <w:szCs w:val="18"/>
        </w:rPr>
        <w:t xml:space="preserve"> </w:t>
      </w:r>
      <w:r w:rsidR="005A272F" w:rsidRPr="005A272F">
        <w:rPr>
          <w:rFonts w:cs="Times New Roman"/>
          <w:bCs/>
          <w:sz w:val="18"/>
          <w:szCs w:val="18"/>
        </w:rPr>
        <w:t>Courts</w:t>
      </w:r>
      <w:r w:rsidRPr="005A272F">
        <w:rPr>
          <w:rFonts w:cs="Times New Roman"/>
          <w:bCs/>
          <w:sz w:val="18"/>
          <w:szCs w:val="18"/>
        </w:rPr>
        <w:t xml:space="preserve"> of Equity means a court operating under statutes or codes it</w:t>
      </w:r>
      <w:r w:rsidR="00CC77EE" w:rsidRPr="005A272F">
        <w:rPr>
          <w:rFonts w:cs="Times New Roman"/>
          <w:bCs/>
          <w:sz w:val="18"/>
          <w:szCs w:val="18"/>
        </w:rPr>
        <w:t>’</w:t>
      </w:r>
      <w:r w:rsidRPr="005A272F">
        <w:rPr>
          <w:rFonts w:cs="Times New Roman"/>
          <w:bCs/>
          <w:sz w:val="18"/>
          <w:szCs w:val="18"/>
        </w:rPr>
        <w:t>s a court for municipalities, government agencies and their agents, corporations, and people subject to the Title via commercial license or agreement.</w:t>
      </w:r>
      <w:r w:rsidR="005A272F">
        <w:rPr>
          <w:rFonts w:cs="Times New Roman"/>
          <w:bCs/>
          <w:sz w:val="18"/>
          <w:szCs w:val="18"/>
        </w:rPr>
        <w:t xml:space="preserve"> - </w:t>
      </w:r>
      <w:r w:rsidR="005A272F">
        <w:rPr>
          <w:rFonts w:cstheme="minorHAnsi"/>
          <w:bCs/>
          <w:sz w:val="18"/>
          <w:szCs w:val="18"/>
        </w:rPr>
        <w:t xml:space="preserve">Blacks Law; </w:t>
      </w:r>
    </w:p>
  </w:footnote>
  <w:footnote w:id="31">
    <w:p w14:paraId="0B76887C" w14:textId="77777777" w:rsidR="00182361" w:rsidRPr="005A272F" w:rsidRDefault="00182361" w:rsidP="00182361">
      <w:pPr>
        <w:spacing w:after="0" w:line="240" w:lineRule="auto"/>
        <w:ind w:right="-54"/>
        <w:rPr>
          <w:bCs/>
          <w:sz w:val="18"/>
          <w:szCs w:val="18"/>
        </w:rPr>
      </w:pPr>
      <w:r w:rsidRPr="005A272F">
        <w:rPr>
          <w:rStyle w:val="FootnoteReference"/>
          <w:bCs/>
          <w:sz w:val="18"/>
          <w:szCs w:val="18"/>
        </w:rPr>
        <w:footnoteRef/>
      </w:r>
      <w:r w:rsidRPr="005A272F">
        <w:rPr>
          <w:bCs/>
          <w:sz w:val="18"/>
          <w:szCs w:val="18"/>
        </w:rPr>
        <w:t xml:space="preserve"> </w:t>
      </w:r>
      <w:r w:rsidRPr="005A272F">
        <w:rPr>
          <w:rFonts w:cstheme="minorHAnsi"/>
          <w:bCs/>
          <w:i/>
          <w:sz w:val="18"/>
          <w:szCs w:val="18"/>
        </w:rPr>
        <w:t>The judicial power shall extend to all cases, in law and equity, arising under this Constitution</w:t>
      </w:r>
      <w:r w:rsidRPr="005A272F">
        <w:rPr>
          <w:rFonts w:cstheme="minorHAnsi"/>
          <w:bCs/>
          <w:sz w:val="18"/>
          <w:szCs w:val="18"/>
        </w:rPr>
        <w:t>. – U.S. Constitution Article III Section 2.</w:t>
      </w:r>
    </w:p>
  </w:footnote>
  <w:footnote w:id="32">
    <w:p w14:paraId="0AB80400" w14:textId="19344477" w:rsidR="00837256" w:rsidRPr="00837256" w:rsidRDefault="00837256">
      <w:pPr>
        <w:pStyle w:val="FootnoteText"/>
        <w:rPr>
          <w:sz w:val="18"/>
          <w:szCs w:val="18"/>
        </w:rPr>
      </w:pPr>
      <w:r w:rsidRPr="00837256">
        <w:rPr>
          <w:rStyle w:val="FootnoteReference"/>
          <w:sz w:val="18"/>
          <w:szCs w:val="18"/>
        </w:rPr>
        <w:footnoteRef/>
      </w:r>
      <w:r w:rsidRPr="00837256">
        <w:rPr>
          <w:sz w:val="18"/>
          <w:szCs w:val="18"/>
        </w:rPr>
        <w:t xml:space="preserve"> </w:t>
      </w:r>
      <w:r w:rsidRPr="00837256">
        <w:rPr>
          <w:rFonts w:cs="Times New Roman"/>
          <w:sz w:val="18"/>
          <w:szCs w:val="18"/>
        </w:rPr>
        <w:t xml:space="preserve">Basso v. UPL, 495 F. 2d 906; Brook v. </w:t>
      </w:r>
      <w:proofErr w:type="spellStart"/>
      <w:r w:rsidRPr="00837256">
        <w:rPr>
          <w:rFonts w:cs="Times New Roman"/>
          <w:sz w:val="18"/>
          <w:szCs w:val="18"/>
        </w:rPr>
        <w:t>Yawkey</w:t>
      </w:r>
      <w:proofErr w:type="spellEnd"/>
      <w:r w:rsidRPr="00837256">
        <w:rPr>
          <w:rFonts w:cs="Times New Roman"/>
          <w:sz w:val="18"/>
          <w:szCs w:val="18"/>
        </w:rPr>
        <w:t>, 200 F. 2d 633; Elliot v. Piersol, 1 Pet. 328, 340, 26 U.S. 328, 340 (1828).</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BAB"/>
    <w:rsid w:val="00072B22"/>
    <w:rsid w:val="000E08AD"/>
    <w:rsid w:val="00165CD3"/>
    <w:rsid w:val="00182361"/>
    <w:rsid w:val="001926BF"/>
    <w:rsid w:val="001A138C"/>
    <w:rsid w:val="001A3863"/>
    <w:rsid w:val="00204FAE"/>
    <w:rsid w:val="00234B2C"/>
    <w:rsid w:val="00337834"/>
    <w:rsid w:val="00360AE5"/>
    <w:rsid w:val="00453AE1"/>
    <w:rsid w:val="00462E09"/>
    <w:rsid w:val="004B57D5"/>
    <w:rsid w:val="004D3F67"/>
    <w:rsid w:val="005114D4"/>
    <w:rsid w:val="00525A81"/>
    <w:rsid w:val="00592936"/>
    <w:rsid w:val="005A272F"/>
    <w:rsid w:val="005D1F82"/>
    <w:rsid w:val="0068400D"/>
    <w:rsid w:val="0072398A"/>
    <w:rsid w:val="00806921"/>
    <w:rsid w:val="00837256"/>
    <w:rsid w:val="008473B9"/>
    <w:rsid w:val="0091513E"/>
    <w:rsid w:val="00930C76"/>
    <w:rsid w:val="009706F6"/>
    <w:rsid w:val="009A0AFC"/>
    <w:rsid w:val="00A21C0E"/>
    <w:rsid w:val="00A36D58"/>
    <w:rsid w:val="00A924DB"/>
    <w:rsid w:val="00CC77EE"/>
    <w:rsid w:val="00D43DAE"/>
    <w:rsid w:val="00E01BAB"/>
    <w:rsid w:val="00E13FA0"/>
    <w:rsid w:val="00E65790"/>
    <w:rsid w:val="00EF0A3A"/>
    <w:rsid w:val="00F729A2"/>
    <w:rsid w:val="00FD1418"/>
    <w:rsid w:val="00FD452F"/>
    <w:rsid w:val="00FE3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7D56F"/>
  <w15:chartTrackingRefBased/>
  <w15:docId w15:val="{D4FE06E7-46CA-48F1-8888-73CA18F5F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1BAB"/>
    <w:pPr>
      <w:jc w:val="both"/>
    </w:pPr>
    <w:rPr>
      <w:rFonts w:ascii="Georgia" w:hAnsi="Georgi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E01BAB"/>
    <w:pPr>
      <w:spacing w:after="0" w:line="240" w:lineRule="auto"/>
    </w:pPr>
    <w:rPr>
      <w:sz w:val="20"/>
      <w:szCs w:val="20"/>
    </w:rPr>
  </w:style>
  <w:style w:type="character" w:customStyle="1" w:styleId="FootnoteTextChar">
    <w:name w:val="Footnote Text Char"/>
    <w:basedOn w:val="DefaultParagraphFont"/>
    <w:link w:val="FootnoteText"/>
    <w:uiPriority w:val="99"/>
    <w:rsid w:val="00E01BAB"/>
    <w:rPr>
      <w:rFonts w:ascii="Georgia" w:hAnsi="Georgia"/>
      <w:sz w:val="20"/>
      <w:szCs w:val="20"/>
    </w:rPr>
  </w:style>
  <w:style w:type="character" w:styleId="FootnoteReference">
    <w:name w:val="footnote reference"/>
    <w:basedOn w:val="DefaultParagraphFont"/>
    <w:uiPriority w:val="99"/>
    <w:unhideWhenUsed/>
    <w:rsid w:val="00E01BAB"/>
    <w:rPr>
      <w:vertAlign w:val="superscript"/>
    </w:rPr>
  </w:style>
  <w:style w:type="table" w:styleId="TableGrid">
    <w:name w:val="Table Grid"/>
    <w:basedOn w:val="TableNormal"/>
    <w:uiPriority w:val="59"/>
    <w:rsid w:val="00E01BAB"/>
    <w:pPr>
      <w:spacing w:after="0" w:line="240" w:lineRule="auto"/>
    </w:pPr>
    <w:rPr>
      <w:rFonts w:ascii="Times New Roman" w:hAnsi="Times New Roman"/>
      <w:kern w:val="0"/>
      <w:sz w:val="28"/>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82361"/>
    <w:rPr>
      <w:color w:val="0563C1" w:themeColor="hyperlink"/>
      <w:u w:val="single"/>
    </w:rPr>
  </w:style>
  <w:style w:type="character" w:styleId="LineNumber">
    <w:name w:val="line number"/>
    <w:basedOn w:val="DefaultParagraphFont"/>
    <w:uiPriority w:val="99"/>
    <w:semiHidden/>
    <w:unhideWhenUsed/>
    <w:rsid w:val="0068400D"/>
  </w:style>
  <w:style w:type="paragraph" w:customStyle="1" w:styleId="statutory-body-1em">
    <w:name w:val="statutory-body-1em"/>
    <w:basedOn w:val="Normal"/>
    <w:rsid w:val="00165CD3"/>
    <w:pPr>
      <w:spacing w:before="100" w:beforeAutospacing="1" w:after="100" w:afterAutospacing="1" w:line="240" w:lineRule="auto"/>
      <w:jc w:val="left"/>
    </w:pPr>
    <w:rPr>
      <w:rFonts w:ascii="Times New Roman" w:eastAsia="Times New Roman" w:hAnsi="Times New Roman" w:cs="Times New Roman"/>
      <w:kern w:val="0"/>
      <w:szCs w:val="24"/>
      <w14:ligatures w14:val="none"/>
    </w:rPr>
  </w:style>
  <w:style w:type="paragraph" w:styleId="Header">
    <w:name w:val="header"/>
    <w:basedOn w:val="Normal"/>
    <w:link w:val="HeaderChar"/>
    <w:uiPriority w:val="99"/>
    <w:unhideWhenUsed/>
    <w:rsid w:val="00A36D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6D58"/>
    <w:rPr>
      <w:rFonts w:ascii="Georgia" w:hAnsi="Georgia"/>
      <w:sz w:val="24"/>
    </w:rPr>
  </w:style>
  <w:style w:type="paragraph" w:styleId="Footer">
    <w:name w:val="footer"/>
    <w:basedOn w:val="Normal"/>
    <w:link w:val="FooterChar"/>
    <w:uiPriority w:val="99"/>
    <w:unhideWhenUsed/>
    <w:rsid w:val="00A36D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6D58"/>
    <w:rPr>
      <w:rFonts w:ascii="Georgia" w:hAnsi="Georg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3E488D-5CF0-4A7F-9897-33AD12E69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Pages>
  <Words>2209</Words>
  <Characters>12593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John</cp:lastModifiedBy>
  <cp:revision>9</cp:revision>
  <cp:lastPrinted>2024-03-24T18:04:00Z</cp:lastPrinted>
  <dcterms:created xsi:type="dcterms:W3CDTF">2024-03-24T18:04:00Z</dcterms:created>
  <dcterms:modified xsi:type="dcterms:W3CDTF">2024-03-30T15:44:00Z</dcterms:modified>
</cp:coreProperties>
</file>